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color w:val="auto"/>
        </w:rPr>
        <w:id w:val="593745009"/>
        <w:docPartObj>
          <w:docPartGallery w:val="Table of Contents"/>
          <w:docPartUnique/>
        </w:docPartObj>
      </w:sdtPr>
      <w:sdtEndPr>
        <w:rPr>
          <w:rFonts w:ascii="Times New Roman" w:hAnsi="Times New Roman" w:cs="Times New Roman"/>
          <w:b/>
          <w:bCs/>
          <w:sz w:val="28"/>
          <w:szCs w:val="28"/>
        </w:rPr>
      </w:sdtEndPr>
      <w:sdtContent>
        <w:p w14:paraId="14AC109D" w14:textId="1D3446EC" w:rsidR="00274296" w:rsidRPr="00274296" w:rsidRDefault="00274296" w:rsidP="0095053B">
          <w:pPr>
            <w:pStyle w:val="1"/>
          </w:pPr>
          <w:r w:rsidRPr="00274296">
            <w:t>Оглавление</w:t>
          </w:r>
        </w:p>
        <w:p w14:paraId="68E22E64" w14:textId="61A2C616" w:rsidR="00A71B34" w:rsidRDefault="00274296">
          <w:pPr>
            <w:pStyle w:val="12"/>
            <w:tabs>
              <w:tab w:val="left" w:pos="480"/>
              <w:tab w:val="right" w:leader="dot" w:pos="9344"/>
            </w:tabs>
            <w:rPr>
              <w:rFonts w:asciiTheme="minorHAnsi" w:eastAsiaTheme="minorEastAsia" w:hAnsiTheme="minorHAnsi"/>
              <w:noProof/>
              <w:sz w:val="24"/>
              <w:szCs w:val="24"/>
              <w:lang w:eastAsia="ru-RU"/>
            </w:rPr>
          </w:pPr>
          <w:r w:rsidRPr="00274296">
            <w:rPr>
              <w:rFonts w:cs="Times New Roman"/>
              <w:szCs w:val="28"/>
            </w:rPr>
            <w:fldChar w:fldCharType="begin"/>
          </w:r>
          <w:r w:rsidRPr="00274296">
            <w:rPr>
              <w:rFonts w:cs="Times New Roman"/>
              <w:szCs w:val="28"/>
            </w:rPr>
            <w:instrText xml:space="preserve"> TOC \o "1-3" \h \z \u </w:instrText>
          </w:r>
          <w:r w:rsidRPr="00274296">
            <w:rPr>
              <w:rFonts w:cs="Times New Roman"/>
              <w:szCs w:val="28"/>
            </w:rPr>
            <w:fldChar w:fldCharType="separate"/>
          </w:r>
          <w:hyperlink w:anchor="_Toc215437179" w:history="1">
            <w:r w:rsidR="00A71B34" w:rsidRPr="008A2889">
              <w:rPr>
                <w:rStyle w:val="ac"/>
                <w:rFonts w:cs="Times New Roman"/>
                <w:b/>
                <w:noProof/>
                <w:kern w:val="0"/>
                <w14:ligatures w14:val="none"/>
              </w:rPr>
              <w:t>1.</w:t>
            </w:r>
            <w:r w:rsidR="00A71B34">
              <w:rPr>
                <w:rFonts w:asciiTheme="minorHAnsi" w:eastAsiaTheme="minorEastAsia" w:hAnsiTheme="minorHAnsi"/>
                <w:noProof/>
                <w:sz w:val="24"/>
                <w:szCs w:val="24"/>
                <w:lang w:eastAsia="ru-RU"/>
              </w:rPr>
              <w:tab/>
            </w:r>
            <w:r w:rsidR="00A71B34" w:rsidRPr="008A2889">
              <w:rPr>
                <w:rStyle w:val="ac"/>
                <w:rFonts w:cs="Times New Roman"/>
                <w:b/>
                <w:noProof/>
                <w:kern w:val="0"/>
                <w14:ligatures w14:val="none"/>
              </w:rPr>
              <w:t>«Устойчивое развитие постепенно возвращается в число приоритетов генеральных директоров»</w:t>
            </w:r>
            <w:r w:rsidR="00A71B34">
              <w:rPr>
                <w:noProof/>
                <w:webHidden/>
              </w:rPr>
              <w:tab/>
            </w:r>
            <w:r w:rsidR="00A71B34">
              <w:rPr>
                <w:noProof/>
                <w:webHidden/>
              </w:rPr>
              <w:fldChar w:fldCharType="begin"/>
            </w:r>
            <w:r w:rsidR="00A71B34">
              <w:rPr>
                <w:noProof/>
                <w:webHidden/>
              </w:rPr>
              <w:instrText xml:space="preserve"> PAGEREF _Toc215437179 \h </w:instrText>
            </w:r>
            <w:r w:rsidR="00A71B34">
              <w:rPr>
                <w:noProof/>
                <w:webHidden/>
              </w:rPr>
            </w:r>
            <w:r w:rsidR="00A71B34">
              <w:rPr>
                <w:noProof/>
                <w:webHidden/>
              </w:rPr>
              <w:fldChar w:fldCharType="separate"/>
            </w:r>
            <w:r w:rsidR="00A71B34">
              <w:rPr>
                <w:noProof/>
                <w:webHidden/>
              </w:rPr>
              <w:t>2</w:t>
            </w:r>
            <w:r w:rsidR="00A71B34">
              <w:rPr>
                <w:noProof/>
                <w:webHidden/>
              </w:rPr>
              <w:fldChar w:fldCharType="end"/>
            </w:r>
          </w:hyperlink>
        </w:p>
        <w:p w14:paraId="481A917D" w14:textId="64CE60B0" w:rsidR="00A71B34" w:rsidRDefault="00E22D20">
          <w:pPr>
            <w:pStyle w:val="12"/>
            <w:tabs>
              <w:tab w:val="right" w:leader="dot" w:pos="9344"/>
            </w:tabs>
            <w:rPr>
              <w:rFonts w:asciiTheme="minorHAnsi" w:eastAsiaTheme="minorEastAsia" w:hAnsiTheme="minorHAnsi"/>
              <w:noProof/>
              <w:sz w:val="24"/>
              <w:szCs w:val="24"/>
              <w:lang w:eastAsia="ru-RU"/>
            </w:rPr>
          </w:pPr>
          <w:hyperlink w:anchor="_Toc215437180" w:history="1">
            <w:r w:rsidR="00A71B34" w:rsidRPr="008A2889">
              <w:rPr>
                <w:rStyle w:val="ac"/>
                <w:rFonts w:cs="Times New Roman"/>
                <w:b/>
                <w:noProof/>
                <w:kern w:val="0"/>
                <w14:ligatures w14:val="none"/>
              </w:rPr>
              <w:t>2. «Аналитики Morningstar прогнозируют непростые времена для страхового (перестраховочного) рынка»</w:t>
            </w:r>
            <w:r w:rsidR="00A71B34">
              <w:rPr>
                <w:noProof/>
                <w:webHidden/>
              </w:rPr>
              <w:tab/>
            </w:r>
            <w:r w:rsidR="00A71B34">
              <w:rPr>
                <w:noProof/>
                <w:webHidden/>
              </w:rPr>
              <w:fldChar w:fldCharType="begin"/>
            </w:r>
            <w:r w:rsidR="00A71B34">
              <w:rPr>
                <w:noProof/>
                <w:webHidden/>
              </w:rPr>
              <w:instrText xml:space="preserve"> PAGEREF _Toc215437180 \h </w:instrText>
            </w:r>
            <w:r w:rsidR="00A71B34">
              <w:rPr>
                <w:noProof/>
                <w:webHidden/>
              </w:rPr>
            </w:r>
            <w:r w:rsidR="00A71B34">
              <w:rPr>
                <w:noProof/>
                <w:webHidden/>
              </w:rPr>
              <w:fldChar w:fldCharType="separate"/>
            </w:r>
            <w:r w:rsidR="00A71B34">
              <w:rPr>
                <w:noProof/>
                <w:webHidden/>
              </w:rPr>
              <w:t>3</w:t>
            </w:r>
            <w:r w:rsidR="00A71B34">
              <w:rPr>
                <w:noProof/>
                <w:webHidden/>
              </w:rPr>
              <w:fldChar w:fldCharType="end"/>
            </w:r>
          </w:hyperlink>
        </w:p>
        <w:p w14:paraId="3E4C361C" w14:textId="6EE92C08" w:rsidR="00A71B34" w:rsidRDefault="00E22D20">
          <w:pPr>
            <w:pStyle w:val="12"/>
            <w:tabs>
              <w:tab w:val="right" w:leader="dot" w:pos="9344"/>
            </w:tabs>
            <w:rPr>
              <w:rFonts w:asciiTheme="minorHAnsi" w:eastAsiaTheme="minorEastAsia" w:hAnsiTheme="minorHAnsi"/>
              <w:noProof/>
              <w:sz w:val="24"/>
              <w:szCs w:val="24"/>
              <w:lang w:eastAsia="ru-RU"/>
            </w:rPr>
          </w:pPr>
          <w:hyperlink w:anchor="_Toc215437181" w:history="1">
            <w:r w:rsidR="00A71B34" w:rsidRPr="008A2889">
              <w:rPr>
                <w:rStyle w:val="ac"/>
                <w:rFonts w:cs="Times New Roman"/>
                <w:b/>
                <w:noProof/>
                <w:kern w:val="0"/>
                <w14:ligatures w14:val="none"/>
              </w:rPr>
              <w:t>3. Riskonnect: Использование ИИ для управления рисками растёт, а надзор за ним – нет</w:t>
            </w:r>
            <w:r w:rsidR="00A71B34">
              <w:rPr>
                <w:noProof/>
                <w:webHidden/>
              </w:rPr>
              <w:tab/>
            </w:r>
            <w:r w:rsidR="00A71B34">
              <w:rPr>
                <w:noProof/>
                <w:webHidden/>
              </w:rPr>
              <w:fldChar w:fldCharType="begin"/>
            </w:r>
            <w:r w:rsidR="00A71B34">
              <w:rPr>
                <w:noProof/>
                <w:webHidden/>
              </w:rPr>
              <w:instrText xml:space="preserve"> PAGEREF _Toc215437181 \h </w:instrText>
            </w:r>
            <w:r w:rsidR="00A71B34">
              <w:rPr>
                <w:noProof/>
                <w:webHidden/>
              </w:rPr>
            </w:r>
            <w:r w:rsidR="00A71B34">
              <w:rPr>
                <w:noProof/>
                <w:webHidden/>
              </w:rPr>
              <w:fldChar w:fldCharType="separate"/>
            </w:r>
            <w:r w:rsidR="00A71B34">
              <w:rPr>
                <w:noProof/>
                <w:webHidden/>
              </w:rPr>
              <w:t>5</w:t>
            </w:r>
            <w:r w:rsidR="00A71B34">
              <w:rPr>
                <w:noProof/>
                <w:webHidden/>
              </w:rPr>
              <w:fldChar w:fldCharType="end"/>
            </w:r>
          </w:hyperlink>
        </w:p>
        <w:p w14:paraId="0CC4B7E0" w14:textId="150588D7" w:rsidR="00A71B34" w:rsidRDefault="00E22D20">
          <w:pPr>
            <w:pStyle w:val="12"/>
            <w:tabs>
              <w:tab w:val="right" w:leader="dot" w:pos="9344"/>
            </w:tabs>
            <w:rPr>
              <w:rFonts w:asciiTheme="minorHAnsi" w:eastAsiaTheme="minorEastAsia" w:hAnsiTheme="minorHAnsi"/>
              <w:noProof/>
              <w:sz w:val="24"/>
              <w:szCs w:val="24"/>
              <w:lang w:eastAsia="ru-RU"/>
            </w:rPr>
          </w:pPr>
          <w:hyperlink w:anchor="_Toc215437182" w:history="1">
            <w:r w:rsidR="00A71B34" w:rsidRPr="008A2889">
              <w:rPr>
                <w:rStyle w:val="ac"/>
                <w:rFonts w:cs="Times New Roman"/>
                <w:b/>
                <w:noProof/>
                <w:kern w:val="0"/>
                <w14:ligatures w14:val="none"/>
              </w:rPr>
              <w:t>4. Кража в Лувре – это сигнал о пересмотре музеями протоколов безопасности</w:t>
            </w:r>
            <w:r w:rsidR="00A71B34">
              <w:rPr>
                <w:noProof/>
                <w:webHidden/>
              </w:rPr>
              <w:tab/>
            </w:r>
            <w:r w:rsidR="00A71B34">
              <w:rPr>
                <w:noProof/>
                <w:webHidden/>
              </w:rPr>
              <w:fldChar w:fldCharType="begin"/>
            </w:r>
            <w:r w:rsidR="00A71B34">
              <w:rPr>
                <w:noProof/>
                <w:webHidden/>
              </w:rPr>
              <w:instrText xml:space="preserve"> PAGEREF _Toc215437182 \h </w:instrText>
            </w:r>
            <w:r w:rsidR="00A71B34">
              <w:rPr>
                <w:noProof/>
                <w:webHidden/>
              </w:rPr>
            </w:r>
            <w:r w:rsidR="00A71B34">
              <w:rPr>
                <w:noProof/>
                <w:webHidden/>
              </w:rPr>
              <w:fldChar w:fldCharType="separate"/>
            </w:r>
            <w:r w:rsidR="00A71B34">
              <w:rPr>
                <w:noProof/>
                <w:webHidden/>
              </w:rPr>
              <w:t>6</w:t>
            </w:r>
            <w:r w:rsidR="00A71B34">
              <w:rPr>
                <w:noProof/>
                <w:webHidden/>
              </w:rPr>
              <w:fldChar w:fldCharType="end"/>
            </w:r>
          </w:hyperlink>
        </w:p>
        <w:p w14:paraId="71CECED5" w14:textId="37BC99C6" w:rsidR="00A71B34" w:rsidRDefault="00E22D20">
          <w:pPr>
            <w:pStyle w:val="12"/>
            <w:tabs>
              <w:tab w:val="right" w:leader="dot" w:pos="9344"/>
            </w:tabs>
            <w:rPr>
              <w:rFonts w:asciiTheme="minorHAnsi" w:eastAsiaTheme="minorEastAsia" w:hAnsiTheme="minorHAnsi"/>
              <w:noProof/>
              <w:sz w:val="24"/>
              <w:szCs w:val="24"/>
              <w:lang w:eastAsia="ru-RU"/>
            </w:rPr>
          </w:pPr>
          <w:hyperlink w:anchor="_Toc215437183" w:history="1">
            <w:r w:rsidR="00A71B34" w:rsidRPr="008A2889">
              <w:rPr>
                <w:rStyle w:val="ac"/>
                <w:rFonts w:cs="Times New Roman"/>
                <w:b/>
                <w:noProof/>
                <w:kern w:val="0"/>
                <w14:ligatures w14:val="none"/>
              </w:rPr>
              <w:t>5. ТНК должны думать глобально, но действовать локально в вопросах киберстрахования</w:t>
            </w:r>
            <w:r w:rsidR="00A71B34">
              <w:rPr>
                <w:noProof/>
                <w:webHidden/>
              </w:rPr>
              <w:tab/>
            </w:r>
            <w:r w:rsidR="00A71B34">
              <w:rPr>
                <w:noProof/>
                <w:webHidden/>
              </w:rPr>
              <w:fldChar w:fldCharType="begin"/>
            </w:r>
            <w:r w:rsidR="00A71B34">
              <w:rPr>
                <w:noProof/>
                <w:webHidden/>
              </w:rPr>
              <w:instrText xml:space="preserve"> PAGEREF _Toc215437183 \h </w:instrText>
            </w:r>
            <w:r w:rsidR="00A71B34">
              <w:rPr>
                <w:noProof/>
                <w:webHidden/>
              </w:rPr>
            </w:r>
            <w:r w:rsidR="00A71B34">
              <w:rPr>
                <w:noProof/>
                <w:webHidden/>
              </w:rPr>
              <w:fldChar w:fldCharType="separate"/>
            </w:r>
            <w:r w:rsidR="00A71B34">
              <w:rPr>
                <w:noProof/>
                <w:webHidden/>
              </w:rPr>
              <w:t>7</w:t>
            </w:r>
            <w:r w:rsidR="00A71B34">
              <w:rPr>
                <w:noProof/>
                <w:webHidden/>
              </w:rPr>
              <w:fldChar w:fldCharType="end"/>
            </w:r>
          </w:hyperlink>
        </w:p>
        <w:p w14:paraId="2806106F" w14:textId="25E1C601" w:rsidR="00274296" w:rsidRPr="00274296" w:rsidRDefault="00274296" w:rsidP="002A13EB">
          <w:pPr>
            <w:spacing w:after="0" w:line="276" w:lineRule="auto"/>
            <w:rPr>
              <w:rFonts w:cs="Times New Roman"/>
              <w:szCs w:val="28"/>
            </w:rPr>
          </w:pPr>
          <w:r w:rsidRPr="00274296">
            <w:rPr>
              <w:rFonts w:cs="Times New Roman"/>
              <w:b/>
              <w:bCs/>
              <w:szCs w:val="28"/>
            </w:rPr>
            <w:fldChar w:fldCharType="end"/>
          </w:r>
        </w:p>
      </w:sdtContent>
    </w:sdt>
    <w:p w14:paraId="023BBD26" w14:textId="77777777" w:rsidR="00274296" w:rsidRPr="00274296" w:rsidRDefault="00274296" w:rsidP="002A13EB">
      <w:pPr>
        <w:spacing w:after="0" w:line="276" w:lineRule="auto"/>
        <w:rPr>
          <w:rFonts w:eastAsiaTheme="majorEastAsia" w:cs="Times New Roman"/>
          <w:b/>
          <w:color w:val="000000" w:themeColor="text1"/>
          <w:kern w:val="0"/>
          <w:szCs w:val="28"/>
          <w14:ligatures w14:val="none"/>
        </w:rPr>
      </w:pPr>
      <w:r w:rsidRPr="00274296">
        <w:rPr>
          <w:rFonts w:cs="Times New Roman"/>
          <w:b/>
          <w:color w:val="000000" w:themeColor="text1"/>
          <w:kern w:val="0"/>
          <w:szCs w:val="28"/>
          <w14:ligatures w14:val="none"/>
        </w:rPr>
        <w:br w:type="page"/>
      </w:r>
    </w:p>
    <w:p w14:paraId="6095A14E" w14:textId="45C39476" w:rsidR="007E7CDD" w:rsidRPr="00274296" w:rsidRDefault="007E7CDD" w:rsidP="002A13EB">
      <w:pPr>
        <w:pStyle w:val="1"/>
        <w:spacing w:before="0" w:after="0" w:line="276" w:lineRule="auto"/>
        <w:ind w:firstLine="633"/>
        <w:rPr>
          <w:rFonts w:ascii="Times New Roman" w:hAnsi="Times New Roman" w:cs="Times New Roman"/>
          <w:b/>
          <w:color w:val="000000" w:themeColor="text1"/>
          <w:kern w:val="0"/>
          <w:sz w:val="28"/>
          <w:szCs w:val="28"/>
          <w14:ligatures w14:val="none"/>
        </w:rPr>
      </w:pPr>
      <w:bookmarkStart w:id="1" w:name="_Toc215437179"/>
      <w:r w:rsidRPr="00274296">
        <w:rPr>
          <w:rFonts w:ascii="Times New Roman" w:hAnsi="Times New Roman" w:cs="Times New Roman"/>
          <w:b/>
          <w:color w:val="000000" w:themeColor="text1"/>
          <w:kern w:val="0"/>
          <w:sz w:val="28"/>
          <w:szCs w:val="28"/>
          <w14:ligatures w14:val="none"/>
        </w:rPr>
        <w:lastRenderedPageBreak/>
        <w:t>1.</w:t>
      </w:r>
      <w:r w:rsidRPr="00274296">
        <w:rPr>
          <w:rFonts w:ascii="Times New Roman" w:hAnsi="Times New Roman" w:cs="Times New Roman"/>
          <w:b/>
          <w:color w:val="000000" w:themeColor="text1"/>
          <w:kern w:val="0"/>
          <w:sz w:val="28"/>
          <w:szCs w:val="28"/>
          <w14:ligatures w14:val="none"/>
        </w:rPr>
        <w:tab/>
      </w:r>
      <w:r w:rsidR="00ED0259" w:rsidRPr="00ED0259">
        <w:rPr>
          <w:rFonts w:ascii="Times New Roman" w:hAnsi="Times New Roman" w:cs="Times New Roman"/>
          <w:b/>
          <w:color w:val="000000" w:themeColor="text1"/>
          <w:kern w:val="0"/>
          <w:sz w:val="28"/>
          <w:szCs w:val="28"/>
          <w14:ligatures w14:val="none"/>
        </w:rPr>
        <w:t>«Устойчивое развитие постепенно возвращается в число приоритетов генеральных директоров»</w:t>
      </w:r>
      <w:bookmarkEnd w:id="1"/>
    </w:p>
    <w:p w14:paraId="2B933AB2" w14:textId="77777777" w:rsidR="007E7CDD" w:rsidRPr="00274296" w:rsidRDefault="007E7CDD" w:rsidP="002A13EB">
      <w:pPr>
        <w:spacing w:after="0" w:line="276" w:lineRule="auto"/>
        <w:ind w:firstLine="633"/>
        <w:jc w:val="both"/>
        <w:rPr>
          <w:rFonts w:cs="Times New Roman"/>
          <w:bCs/>
          <w:color w:val="000000" w:themeColor="text1"/>
          <w:kern w:val="0"/>
          <w:szCs w:val="28"/>
          <w14:ligatures w14:val="none"/>
        </w:rPr>
      </w:pPr>
    </w:p>
    <w:p w14:paraId="5659CDE8" w14:textId="4F8D4E66"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Согласно ежегодному руководству по устойчивому развитию для генеральных директоров от консалтинговой компании Bain, наблюдается постепенный рост значимости экологической повестки среди приоритетов генеральных директоров после периода «избавления от иллюзий</w:t>
      </w:r>
      <w:r>
        <w:rPr>
          <w:rStyle w:val="af5"/>
          <w:rFonts w:cs="Times New Roman"/>
          <w:bCs/>
          <w:color w:val="000000" w:themeColor="text1"/>
          <w:kern w:val="0"/>
          <w:szCs w:val="28"/>
          <w14:ligatures w14:val="none"/>
        </w:rPr>
        <w:footnoteReference w:id="1"/>
      </w:r>
      <w:r w:rsidRPr="00ED0259">
        <w:rPr>
          <w:rFonts w:cs="Times New Roman"/>
          <w:bCs/>
          <w:color w:val="000000" w:themeColor="text1"/>
          <w:kern w:val="0"/>
          <w:szCs w:val="28"/>
          <w14:ligatures w14:val="none"/>
        </w:rPr>
        <w:t>» в прошлом году. Как отмечается в отчёте, хотя ажиотаж вокруг темы ещё не вернулся на прежний пик, её актуальность перестала снижаться.</w:t>
      </w:r>
    </w:p>
    <w:p w14:paraId="4E3D3192"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Аналитики Bain отмечают, что 2025 год стал периодом, когда генеральные директора стали меньше говорить об устойчивом развитии, но активизировали практические действия. Это явление получило название "разрыв между словом и делом" («</w:t>
      </w:r>
      <w:proofErr w:type="spellStart"/>
      <w:r w:rsidRPr="00ED0259">
        <w:rPr>
          <w:rFonts w:cs="Times New Roman"/>
          <w:bCs/>
          <w:color w:val="000000" w:themeColor="text1"/>
          <w:kern w:val="0"/>
          <w:szCs w:val="28"/>
          <w14:ligatures w14:val="none"/>
        </w:rPr>
        <w:t>do-say</w:t>
      </w:r>
      <w:proofErr w:type="spellEnd"/>
      <w:r w:rsidRPr="00ED0259">
        <w:rPr>
          <w:rFonts w:cs="Times New Roman"/>
          <w:bCs/>
          <w:color w:val="000000" w:themeColor="text1"/>
          <w:kern w:val="0"/>
          <w:szCs w:val="28"/>
          <w14:ligatures w14:val="none"/>
        </w:rPr>
        <w:t xml:space="preserve"> </w:t>
      </w:r>
      <w:proofErr w:type="spellStart"/>
      <w:r w:rsidRPr="00ED0259">
        <w:rPr>
          <w:rFonts w:cs="Times New Roman"/>
          <w:bCs/>
          <w:color w:val="000000" w:themeColor="text1"/>
          <w:kern w:val="0"/>
          <w:szCs w:val="28"/>
          <w14:ligatures w14:val="none"/>
        </w:rPr>
        <w:t>gap</w:t>
      </w:r>
      <w:proofErr w:type="spellEnd"/>
      <w:r w:rsidRPr="00ED0259">
        <w:rPr>
          <w:rFonts w:cs="Times New Roman"/>
          <w:bCs/>
          <w:color w:val="000000" w:themeColor="text1"/>
          <w:kern w:val="0"/>
          <w:szCs w:val="28"/>
          <w14:ligatures w14:val="none"/>
        </w:rPr>
        <w:t xml:space="preserve">»). Если в 2018 году публичные заявления генеральных директоров были сосредоточены на соблюдении нормативных требований и социальной ответственности, то сегодня они сместили фокус с моральных ценностей на деловую целесообразность, увязывая устойчивое развитие с ключевыми бизнес-рисками и операционной реальностью: издержками, работой с клиентами, коммерческими процессами и инвестиционной политикой. </w:t>
      </w:r>
    </w:p>
    <w:p w14:paraId="1CA38449" w14:textId="6567FD34"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При этом компании не снижают, а повышают свои целевые показатели. В период с 2022 по 2025 год 10% компаний повысили свои обязательства в рамках Инициативы по научно обоснованным целям (</w:t>
      </w:r>
      <w:proofErr w:type="spellStart"/>
      <w:r w:rsidRPr="00ED0259">
        <w:rPr>
          <w:rFonts w:cs="Times New Roman"/>
          <w:bCs/>
          <w:color w:val="000000" w:themeColor="text1"/>
          <w:kern w:val="0"/>
          <w:szCs w:val="28"/>
          <w14:ligatures w14:val="none"/>
        </w:rPr>
        <w:t>SBTi</w:t>
      </w:r>
      <w:proofErr w:type="spellEnd"/>
      <w:r>
        <w:rPr>
          <w:rStyle w:val="af5"/>
          <w:rFonts w:cs="Times New Roman"/>
          <w:bCs/>
          <w:color w:val="000000" w:themeColor="text1"/>
          <w:kern w:val="0"/>
          <w:szCs w:val="28"/>
          <w14:ligatures w14:val="none"/>
        </w:rPr>
        <w:footnoteReference w:id="2"/>
      </w:r>
      <w:r w:rsidRPr="00ED0259">
        <w:rPr>
          <w:rFonts w:cs="Times New Roman"/>
          <w:bCs/>
          <w:color w:val="000000" w:themeColor="text1"/>
          <w:kern w:val="0"/>
          <w:szCs w:val="28"/>
          <w14:ligatures w14:val="none"/>
        </w:rPr>
        <w:t>), в то время как лишь 4% пошли на их смягчение. Две трети компаний уверенно движутся к достижению целей по прямым выбросам (</w:t>
      </w:r>
      <w:proofErr w:type="spellStart"/>
      <w:r w:rsidRPr="00ED0259">
        <w:rPr>
          <w:rFonts w:cs="Times New Roman"/>
          <w:bCs/>
          <w:color w:val="000000" w:themeColor="text1"/>
          <w:kern w:val="0"/>
          <w:szCs w:val="28"/>
          <w14:ligatures w14:val="none"/>
        </w:rPr>
        <w:t>Scope</w:t>
      </w:r>
      <w:proofErr w:type="spellEnd"/>
      <w:r w:rsidRPr="00ED0259">
        <w:rPr>
          <w:rFonts w:cs="Times New Roman"/>
          <w:bCs/>
          <w:color w:val="000000" w:themeColor="text1"/>
          <w:kern w:val="0"/>
          <w:szCs w:val="28"/>
          <w14:ligatures w14:val="none"/>
        </w:rPr>
        <w:t xml:space="preserve"> 1) и косвенным выбросам от энергии (</w:t>
      </w:r>
      <w:proofErr w:type="spellStart"/>
      <w:r w:rsidRPr="00ED0259">
        <w:rPr>
          <w:rFonts w:cs="Times New Roman"/>
          <w:bCs/>
          <w:color w:val="000000" w:themeColor="text1"/>
          <w:kern w:val="0"/>
          <w:szCs w:val="28"/>
          <w14:ligatures w14:val="none"/>
        </w:rPr>
        <w:t>Scope</w:t>
      </w:r>
      <w:proofErr w:type="spellEnd"/>
      <w:r w:rsidRPr="00ED0259">
        <w:rPr>
          <w:rFonts w:cs="Times New Roman"/>
          <w:bCs/>
          <w:color w:val="000000" w:themeColor="text1"/>
          <w:kern w:val="0"/>
          <w:szCs w:val="28"/>
          <w14:ligatures w14:val="none"/>
        </w:rPr>
        <w:t xml:space="preserve"> 2). Однако около половины организаций отстают от графика по выполнению целей, связанных с прочими косвенными выбросами (</w:t>
      </w:r>
      <w:proofErr w:type="spellStart"/>
      <w:r w:rsidRPr="00ED0259">
        <w:rPr>
          <w:rFonts w:cs="Times New Roman"/>
          <w:bCs/>
          <w:color w:val="000000" w:themeColor="text1"/>
          <w:kern w:val="0"/>
          <w:szCs w:val="28"/>
          <w14:ligatures w14:val="none"/>
        </w:rPr>
        <w:t>Scope</w:t>
      </w:r>
      <w:proofErr w:type="spellEnd"/>
      <w:r w:rsidRPr="00ED0259">
        <w:rPr>
          <w:rFonts w:cs="Times New Roman"/>
          <w:bCs/>
          <w:color w:val="000000" w:themeColor="text1"/>
          <w:kern w:val="0"/>
          <w:szCs w:val="28"/>
          <w14:ligatures w14:val="none"/>
        </w:rPr>
        <w:t xml:space="preserve"> 3), которые включают цепочку поставок и использование продукции.</w:t>
      </w:r>
    </w:p>
    <w:p w14:paraId="48169A9E"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Для определения амбициозных и реализуемых целей Bain предлагает ответить на три ключевых вопроса:</w:t>
      </w:r>
    </w:p>
    <w:p w14:paraId="26367EC9"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1.</w:t>
      </w:r>
      <w:r w:rsidRPr="00ED0259">
        <w:rPr>
          <w:rFonts w:cs="Times New Roman"/>
          <w:bCs/>
          <w:color w:val="000000" w:themeColor="text1"/>
          <w:kern w:val="0"/>
          <w:szCs w:val="28"/>
          <w14:ligatures w14:val="none"/>
        </w:rPr>
        <w:tab/>
        <w:t>Как ускорить реализацию проектов, где экологический эффект и бизнес-ценность уже совпадают?</w:t>
      </w:r>
    </w:p>
    <w:p w14:paraId="13AAA144"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2.</w:t>
      </w:r>
      <w:r w:rsidRPr="00ED0259">
        <w:rPr>
          <w:rFonts w:cs="Times New Roman"/>
          <w:bCs/>
          <w:color w:val="000000" w:themeColor="text1"/>
          <w:kern w:val="0"/>
          <w:szCs w:val="28"/>
          <w14:ligatures w14:val="none"/>
        </w:rPr>
        <w:tab/>
        <w:t>Как предвосхитить следующее кардинальное изменение в политике, технологиях и поведении клиентов?</w:t>
      </w:r>
    </w:p>
    <w:p w14:paraId="13F962AE"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lastRenderedPageBreak/>
        <w:t>3.</w:t>
      </w:r>
      <w:r w:rsidRPr="00ED0259">
        <w:rPr>
          <w:rFonts w:cs="Times New Roman"/>
          <w:bCs/>
          <w:color w:val="000000" w:themeColor="text1"/>
          <w:kern w:val="0"/>
          <w:szCs w:val="28"/>
          <w14:ligatures w14:val="none"/>
        </w:rPr>
        <w:tab/>
        <w:t>Как построить устойчивую систему, способную выдержать любые испытания?</w:t>
      </w:r>
    </w:p>
    <w:p w14:paraId="614B70CB" w14:textId="77777777"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Чтобы оценить потенциал сокращения выбросов, Bain провела анализ 14 отраслей, на которые приходится две трети мировых выбросов. Согласно исследованию, 25% мировых выбросов CO₂ могут быть устранены с помощью мер, уже имеющих положительную рентабельность инвестиций (ROI). Ещё 32% выбросов могут быть сокращены за счёт мер, которые станут рентабельными в среднесрочной перспективе. Однако меры для оставшихся 43% выбросов, вероятно, останутся нерентабельными как минимум до 2050 года.</w:t>
      </w:r>
    </w:p>
    <w:p w14:paraId="263315CE" w14:textId="70054D8E" w:rsidR="00ED0259" w:rsidRPr="00ED0259" w:rsidRDefault="00ED0259" w:rsidP="002A13EB">
      <w:pPr>
        <w:spacing w:after="0" w:line="276" w:lineRule="auto"/>
        <w:ind w:firstLine="633"/>
        <w:jc w:val="both"/>
        <w:rPr>
          <w:rFonts w:cs="Times New Roman"/>
          <w:bCs/>
          <w:color w:val="000000" w:themeColor="text1"/>
          <w:kern w:val="0"/>
          <w:szCs w:val="28"/>
          <w14:ligatures w14:val="none"/>
        </w:rPr>
      </w:pPr>
      <w:r w:rsidRPr="00ED0259">
        <w:rPr>
          <w:rFonts w:cs="Times New Roman"/>
          <w:bCs/>
          <w:color w:val="000000" w:themeColor="text1"/>
          <w:kern w:val="0"/>
          <w:szCs w:val="28"/>
          <w14:ligatures w14:val="none"/>
        </w:rPr>
        <w:t xml:space="preserve">Это означает, что прагматичным лидерам необходимо готовить свои компании к миру ускоряющихся перемен </w:t>
      </w:r>
      <w:r>
        <w:rPr>
          <w:rFonts w:cs="Times New Roman"/>
          <w:bCs/>
          <w:color w:val="000000" w:themeColor="text1"/>
          <w:kern w:val="0"/>
          <w:szCs w:val="28"/>
          <w14:ligatures w14:val="none"/>
        </w:rPr>
        <w:t>–</w:t>
      </w:r>
      <w:r w:rsidRPr="00ED0259">
        <w:rPr>
          <w:rFonts w:cs="Times New Roman"/>
          <w:bCs/>
          <w:color w:val="000000" w:themeColor="text1"/>
          <w:kern w:val="0"/>
          <w:szCs w:val="28"/>
          <w14:ligatures w14:val="none"/>
        </w:rPr>
        <w:t xml:space="preserve"> от</w:t>
      </w:r>
      <w:r>
        <w:rPr>
          <w:rFonts w:cs="Times New Roman"/>
          <w:bCs/>
          <w:color w:val="000000" w:themeColor="text1"/>
          <w:kern w:val="0"/>
          <w:szCs w:val="28"/>
          <w14:ligatures w14:val="none"/>
        </w:rPr>
        <w:t xml:space="preserve"> </w:t>
      </w:r>
      <w:r w:rsidRPr="00ED0259">
        <w:rPr>
          <w:rFonts w:cs="Times New Roman"/>
          <w:bCs/>
          <w:color w:val="000000" w:themeColor="text1"/>
          <w:kern w:val="0"/>
          <w:szCs w:val="28"/>
          <w14:ligatures w14:val="none"/>
        </w:rPr>
        <w:t>изменения климата до геополитических сдвигов и технологических скачков. Для успеха в этих условиях организациям нужно становиться более устойчивыми и гибкими. Сложность для современных руководителей заключается в балансировании между краткосрочной эффективностью затрат и долгосрочной стабильностью. Устойчивые компании закладывают принципы жизнестойкости в саму основу своего бизнеса: они создают резервные мощности в цепочках поставок, чтобы ограничить риски, связанные с конкретными регионами; осваивают системы мониторинга в реальном времени, чтобы предвосхищать изменения и оперативно на них реагировать; а также поддерживают широкий набор климатических мер, включая даже те, что пока не приносят финансовой отдачи, чтобы быть готовыми задействовать их, когда условия изменятся.</w:t>
      </w:r>
    </w:p>
    <w:p w14:paraId="5E9E0CEE" w14:textId="10D8558F" w:rsidR="007E7CDD" w:rsidRDefault="00ED0259" w:rsidP="002A13EB">
      <w:pPr>
        <w:spacing w:after="0" w:line="276" w:lineRule="auto"/>
        <w:ind w:firstLine="633"/>
        <w:jc w:val="both"/>
        <w:rPr>
          <w:rFonts w:cs="Times New Roman"/>
          <w:bCs/>
          <w:szCs w:val="28"/>
        </w:rPr>
      </w:pPr>
      <w:r w:rsidRPr="00ED0259">
        <w:rPr>
          <w:rFonts w:cs="Times New Roman"/>
          <w:bCs/>
          <w:color w:val="000000" w:themeColor="text1"/>
          <w:kern w:val="0"/>
          <w:szCs w:val="28"/>
          <w14:ligatures w14:val="none"/>
        </w:rPr>
        <w:t xml:space="preserve">По мере приближения 2030 года устойчивое развитие окончательно переходит от стадии амбиций к стадии исполнения. Резюме Bain простое: ускорять то, что работает; предвидеть то, что грядёт; и создавать прочные и гибкие системы. Эти три вопроса должны лечь в основу следующей стратегической дискуссии в совете </w:t>
      </w:r>
      <w:proofErr w:type="spellStart"/>
      <w:r w:rsidRPr="00ED0259">
        <w:rPr>
          <w:rFonts w:cs="Times New Roman"/>
          <w:bCs/>
          <w:color w:val="000000" w:themeColor="text1"/>
          <w:kern w:val="0"/>
          <w:szCs w:val="28"/>
          <w14:ligatures w14:val="none"/>
        </w:rPr>
        <w:t>директоров.</w:t>
      </w:r>
      <w:r w:rsidR="007E7CDD" w:rsidRPr="00274296">
        <w:rPr>
          <w:rFonts w:cs="Times New Roman"/>
          <w:b/>
          <w:bCs/>
          <w:szCs w:val="28"/>
        </w:rPr>
        <w:t>Источник</w:t>
      </w:r>
      <w:proofErr w:type="spellEnd"/>
      <w:r w:rsidR="007E7CDD" w:rsidRPr="00274296">
        <w:rPr>
          <w:rFonts w:cs="Times New Roman"/>
          <w:bCs/>
          <w:szCs w:val="28"/>
        </w:rPr>
        <w:t xml:space="preserve">: </w:t>
      </w:r>
      <w:hyperlink r:id="rId9" w:history="1">
        <w:r w:rsidRPr="00ED0259">
          <w:rPr>
            <w:rStyle w:val="ac"/>
            <w:rFonts w:cs="Times New Roman"/>
            <w:bCs/>
            <w:szCs w:val="28"/>
            <w:lang w:val="en-US"/>
          </w:rPr>
          <w:t>https</w:t>
        </w:r>
        <w:r w:rsidRPr="00ED0259">
          <w:rPr>
            <w:rStyle w:val="ac"/>
            <w:rFonts w:cs="Times New Roman"/>
            <w:bCs/>
            <w:szCs w:val="28"/>
          </w:rPr>
          <w:t>://</w:t>
        </w:r>
        <w:r w:rsidRPr="00ED0259">
          <w:rPr>
            <w:rStyle w:val="ac"/>
            <w:rFonts w:cs="Times New Roman"/>
            <w:bCs/>
            <w:szCs w:val="28"/>
            <w:lang w:val="en-US"/>
          </w:rPr>
          <w:t>www</w:t>
        </w:r>
        <w:r w:rsidRPr="00ED0259">
          <w:rPr>
            <w:rStyle w:val="ac"/>
            <w:rFonts w:cs="Times New Roman"/>
            <w:bCs/>
            <w:szCs w:val="28"/>
          </w:rPr>
          <w:t>.</w:t>
        </w:r>
        <w:proofErr w:type="spellStart"/>
        <w:r w:rsidRPr="00ED0259">
          <w:rPr>
            <w:rStyle w:val="ac"/>
            <w:rFonts w:cs="Times New Roman"/>
            <w:bCs/>
            <w:szCs w:val="28"/>
            <w:lang w:val="en-US"/>
          </w:rPr>
          <w:t>commercialriskonline</w:t>
        </w:r>
        <w:proofErr w:type="spellEnd"/>
        <w:r w:rsidRPr="00ED0259">
          <w:rPr>
            <w:rStyle w:val="ac"/>
            <w:rFonts w:cs="Times New Roman"/>
            <w:bCs/>
            <w:szCs w:val="28"/>
          </w:rPr>
          <w:t>.</w:t>
        </w:r>
        <w:r w:rsidRPr="00ED0259">
          <w:rPr>
            <w:rStyle w:val="ac"/>
            <w:rFonts w:cs="Times New Roman"/>
            <w:bCs/>
            <w:szCs w:val="28"/>
            <w:lang w:val="en-US"/>
          </w:rPr>
          <w:t>com</w:t>
        </w:r>
        <w:r w:rsidRPr="00ED0259">
          <w:rPr>
            <w:rStyle w:val="ac"/>
            <w:rFonts w:cs="Times New Roman"/>
            <w:bCs/>
            <w:szCs w:val="28"/>
          </w:rPr>
          <w:t>/</w:t>
        </w:r>
        <w:r w:rsidRPr="00ED0259">
          <w:rPr>
            <w:rStyle w:val="ac"/>
            <w:rFonts w:cs="Times New Roman"/>
            <w:bCs/>
            <w:szCs w:val="28"/>
            <w:lang w:val="en-US"/>
          </w:rPr>
          <w:t>sustainability</w:t>
        </w:r>
        <w:r w:rsidRPr="00ED0259">
          <w:rPr>
            <w:rStyle w:val="ac"/>
            <w:rFonts w:cs="Times New Roman"/>
            <w:bCs/>
            <w:szCs w:val="28"/>
          </w:rPr>
          <w:t>-</w:t>
        </w:r>
        <w:r w:rsidRPr="00ED0259">
          <w:rPr>
            <w:rStyle w:val="ac"/>
            <w:rFonts w:cs="Times New Roman"/>
            <w:bCs/>
            <w:szCs w:val="28"/>
            <w:lang w:val="en-US"/>
          </w:rPr>
          <w:t>slowly</w:t>
        </w:r>
        <w:r w:rsidRPr="00ED0259">
          <w:rPr>
            <w:rStyle w:val="ac"/>
            <w:rFonts w:cs="Times New Roman"/>
            <w:bCs/>
            <w:szCs w:val="28"/>
          </w:rPr>
          <w:t>-</w:t>
        </w:r>
        <w:r w:rsidRPr="00ED0259">
          <w:rPr>
            <w:rStyle w:val="ac"/>
            <w:rFonts w:cs="Times New Roman"/>
            <w:bCs/>
            <w:szCs w:val="28"/>
            <w:lang w:val="en-US"/>
          </w:rPr>
          <w:t>increasing</w:t>
        </w:r>
        <w:r w:rsidRPr="00ED0259">
          <w:rPr>
            <w:rStyle w:val="ac"/>
            <w:rFonts w:cs="Times New Roman"/>
            <w:bCs/>
            <w:szCs w:val="28"/>
          </w:rPr>
          <w:t>-</w:t>
        </w:r>
        <w:r w:rsidRPr="00ED0259">
          <w:rPr>
            <w:rStyle w:val="ac"/>
            <w:rFonts w:cs="Times New Roman"/>
            <w:bCs/>
            <w:szCs w:val="28"/>
            <w:lang w:val="en-US"/>
          </w:rPr>
          <w:t>as</w:t>
        </w:r>
        <w:r w:rsidRPr="00ED0259">
          <w:rPr>
            <w:rStyle w:val="ac"/>
            <w:rFonts w:cs="Times New Roman"/>
            <w:bCs/>
            <w:szCs w:val="28"/>
          </w:rPr>
          <w:t>-</w:t>
        </w:r>
        <w:proofErr w:type="spellStart"/>
        <w:r w:rsidRPr="00ED0259">
          <w:rPr>
            <w:rStyle w:val="ac"/>
            <w:rFonts w:cs="Times New Roman"/>
            <w:bCs/>
            <w:szCs w:val="28"/>
            <w:lang w:val="en-US"/>
          </w:rPr>
          <w:t>ceo</w:t>
        </w:r>
        <w:proofErr w:type="spellEnd"/>
        <w:r w:rsidRPr="00ED0259">
          <w:rPr>
            <w:rStyle w:val="ac"/>
            <w:rFonts w:cs="Times New Roman"/>
            <w:bCs/>
            <w:szCs w:val="28"/>
          </w:rPr>
          <w:t>-</w:t>
        </w:r>
        <w:r w:rsidRPr="00ED0259">
          <w:rPr>
            <w:rStyle w:val="ac"/>
            <w:rFonts w:cs="Times New Roman"/>
            <w:bCs/>
            <w:szCs w:val="28"/>
            <w:lang w:val="en-US"/>
          </w:rPr>
          <w:t>priority</w:t>
        </w:r>
        <w:r w:rsidRPr="00ED0259">
          <w:rPr>
            <w:rStyle w:val="ac"/>
            <w:rFonts w:cs="Times New Roman"/>
            <w:bCs/>
            <w:szCs w:val="28"/>
          </w:rPr>
          <w:t>-</w:t>
        </w:r>
        <w:r w:rsidRPr="00ED0259">
          <w:rPr>
            <w:rStyle w:val="ac"/>
            <w:rFonts w:cs="Times New Roman"/>
            <w:bCs/>
            <w:szCs w:val="28"/>
            <w:lang w:val="en-US"/>
          </w:rPr>
          <w:t>with</w:t>
        </w:r>
        <w:r w:rsidRPr="00ED0259">
          <w:rPr>
            <w:rStyle w:val="ac"/>
            <w:rFonts w:cs="Times New Roman"/>
            <w:bCs/>
            <w:szCs w:val="28"/>
          </w:rPr>
          <w:t>-</w:t>
        </w:r>
        <w:r w:rsidRPr="00ED0259">
          <w:rPr>
            <w:rStyle w:val="ac"/>
            <w:rFonts w:cs="Times New Roman"/>
            <w:bCs/>
            <w:szCs w:val="28"/>
            <w:lang w:val="en-US"/>
          </w:rPr>
          <w:t>less</w:t>
        </w:r>
        <w:r w:rsidRPr="00ED0259">
          <w:rPr>
            <w:rStyle w:val="ac"/>
            <w:rFonts w:cs="Times New Roman"/>
            <w:bCs/>
            <w:szCs w:val="28"/>
          </w:rPr>
          <w:t>-</w:t>
        </w:r>
        <w:r w:rsidRPr="00ED0259">
          <w:rPr>
            <w:rStyle w:val="ac"/>
            <w:rFonts w:cs="Times New Roman"/>
            <w:bCs/>
            <w:szCs w:val="28"/>
            <w:lang w:val="en-US"/>
          </w:rPr>
          <w:t>talk</w:t>
        </w:r>
        <w:r w:rsidRPr="00ED0259">
          <w:rPr>
            <w:rStyle w:val="ac"/>
            <w:rFonts w:cs="Times New Roman"/>
            <w:bCs/>
            <w:szCs w:val="28"/>
          </w:rPr>
          <w:t>-</w:t>
        </w:r>
        <w:r w:rsidRPr="00ED0259">
          <w:rPr>
            <w:rStyle w:val="ac"/>
            <w:rFonts w:cs="Times New Roman"/>
            <w:bCs/>
            <w:szCs w:val="28"/>
            <w:lang w:val="en-US"/>
          </w:rPr>
          <w:t>and</w:t>
        </w:r>
        <w:r w:rsidRPr="00ED0259">
          <w:rPr>
            <w:rStyle w:val="ac"/>
            <w:rFonts w:cs="Times New Roman"/>
            <w:bCs/>
            <w:szCs w:val="28"/>
          </w:rPr>
          <w:t>-</w:t>
        </w:r>
        <w:r w:rsidRPr="00ED0259">
          <w:rPr>
            <w:rStyle w:val="ac"/>
            <w:rFonts w:cs="Times New Roman"/>
            <w:bCs/>
            <w:szCs w:val="28"/>
            <w:lang w:val="en-US"/>
          </w:rPr>
          <w:t>more</w:t>
        </w:r>
        <w:r w:rsidRPr="00ED0259">
          <w:rPr>
            <w:rStyle w:val="ac"/>
            <w:rFonts w:cs="Times New Roman"/>
            <w:bCs/>
            <w:szCs w:val="28"/>
          </w:rPr>
          <w:t>-</w:t>
        </w:r>
        <w:r w:rsidRPr="00ED0259">
          <w:rPr>
            <w:rStyle w:val="ac"/>
            <w:rFonts w:cs="Times New Roman"/>
            <w:bCs/>
            <w:szCs w:val="28"/>
            <w:lang w:val="en-US"/>
          </w:rPr>
          <w:t>action</w:t>
        </w:r>
        <w:r w:rsidRPr="00ED0259">
          <w:rPr>
            <w:rStyle w:val="ac"/>
            <w:rFonts w:cs="Times New Roman"/>
            <w:bCs/>
            <w:szCs w:val="28"/>
          </w:rPr>
          <w:t>/</w:t>
        </w:r>
      </w:hyperlink>
      <w:r w:rsidR="007E7CDD" w:rsidRPr="00274296">
        <w:rPr>
          <w:rFonts w:cs="Times New Roman"/>
          <w:bCs/>
          <w:szCs w:val="28"/>
        </w:rPr>
        <w:t xml:space="preserve"> </w:t>
      </w:r>
      <w:r>
        <w:rPr>
          <w:rFonts w:cs="Times New Roman"/>
          <w:bCs/>
          <w:szCs w:val="28"/>
        </w:rPr>
        <w:t>30</w:t>
      </w:r>
      <w:r w:rsidR="007E7CDD" w:rsidRPr="00274296">
        <w:rPr>
          <w:rFonts w:cs="Times New Roman"/>
          <w:bCs/>
          <w:szCs w:val="28"/>
        </w:rPr>
        <w:t>.1</w:t>
      </w:r>
      <w:r>
        <w:rPr>
          <w:rFonts w:cs="Times New Roman"/>
          <w:bCs/>
          <w:szCs w:val="28"/>
        </w:rPr>
        <w:t>1</w:t>
      </w:r>
      <w:r w:rsidR="007E7CDD" w:rsidRPr="00274296">
        <w:rPr>
          <w:rFonts w:cs="Times New Roman"/>
          <w:bCs/>
          <w:szCs w:val="28"/>
        </w:rPr>
        <w:t xml:space="preserve">.2025 </w:t>
      </w:r>
    </w:p>
    <w:p w14:paraId="6A2B5B5F" w14:textId="77777777" w:rsidR="00ED0259" w:rsidRDefault="00ED0259" w:rsidP="002A13EB">
      <w:pPr>
        <w:spacing w:after="0" w:line="276" w:lineRule="auto"/>
        <w:ind w:firstLine="633"/>
        <w:jc w:val="both"/>
        <w:rPr>
          <w:rFonts w:cs="Times New Roman"/>
          <w:bCs/>
          <w:szCs w:val="28"/>
        </w:rPr>
      </w:pPr>
    </w:p>
    <w:p w14:paraId="04CD9C9E" w14:textId="5CB7A4F5" w:rsidR="007E7CDD" w:rsidRPr="00274296" w:rsidRDefault="007E7CDD" w:rsidP="002A13EB">
      <w:pPr>
        <w:pStyle w:val="1"/>
        <w:spacing w:before="0" w:after="0" w:line="276" w:lineRule="auto"/>
        <w:ind w:firstLine="633"/>
        <w:rPr>
          <w:rFonts w:ascii="Times New Roman" w:hAnsi="Times New Roman" w:cs="Times New Roman"/>
          <w:b/>
          <w:color w:val="000000" w:themeColor="text1"/>
          <w:kern w:val="0"/>
          <w:sz w:val="28"/>
          <w:szCs w:val="28"/>
          <w14:ligatures w14:val="none"/>
        </w:rPr>
      </w:pPr>
      <w:bookmarkStart w:id="2" w:name="_Toc215437180"/>
      <w:r w:rsidRPr="00274296">
        <w:rPr>
          <w:rFonts w:ascii="Times New Roman" w:hAnsi="Times New Roman" w:cs="Times New Roman"/>
          <w:b/>
          <w:color w:val="000000" w:themeColor="text1"/>
          <w:kern w:val="0"/>
          <w:sz w:val="28"/>
          <w:szCs w:val="28"/>
          <w14:ligatures w14:val="none"/>
        </w:rPr>
        <w:t xml:space="preserve">2. </w:t>
      </w:r>
      <w:r w:rsidR="00444F2C" w:rsidRPr="00444F2C">
        <w:rPr>
          <w:rFonts w:ascii="Times New Roman" w:hAnsi="Times New Roman" w:cs="Times New Roman"/>
          <w:b/>
          <w:color w:val="000000" w:themeColor="text1"/>
          <w:kern w:val="0"/>
          <w:sz w:val="28"/>
          <w:szCs w:val="28"/>
          <w14:ligatures w14:val="none"/>
        </w:rPr>
        <w:t xml:space="preserve">«Аналитики </w:t>
      </w:r>
      <w:proofErr w:type="spellStart"/>
      <w:r w:rsidR="00444F2C" w:rsidRPr="00444F2C">
        <w:rPr>
          <w:rFonts w:ascii="Times New Roman" w:hAnsi="Times New Roman" w:cs="Times New Roman"/>
          <w:b/>
          <w:color w:val="000000" w:themeColor="text1"/>
          <w:kern w:val="0"/>
          <w:sz w:val="28"/>
          <w:szCs w:val="28"/>
          <w14:ligatures w14:val="none"/>
        </w:rPr>
        <w:t>Morningstar</w:t>
      </w:r>
      <w:proofErr w:type="spellEnd"/>
      <w:r w:rsidR="00444F2C" w:rsidRPr="00444F2C">
        <w:rPr>
          <w:rFonts w:ascii="Times New Roman" w:hAnsi="Times New Roman" w:cs="Times New Roman"/>
          <w:b/>
          <w:color w:val="000000" w:themeColor="text1"/>
          <w:kern w:val="0"/>
          <w:sz w:val="28"/>
          <w:szCs w:val="28"/>
          <w14:ligatures w14:val="none"/>
        </w:rPr>
        <w:t xml:space="preserve"> прогнозируют непростые времена для страхового (перестраховочного) рынка»</w:t>
      </w:r>
      <w:bookmarkEnd w:id="2"/>
    </w:p>
    <w:p w14:paraId="213383B9" w14:textId="77777777" w:rsidR="00AC47FD" w:rsidRPr="00274296" w:rsidRDefault="00AC47FD" w:rsidP="002A13EB">
      <w:pPr>
        <w:spacing w:after="0" w:line="276" w:lineRule="auto"/>
        <w:ind w:firstLine="633"/>
        <w:jc w:val="both"/>
        <w:rPr>
          <w:rFonts w:cs="Times New Roman"/>
          <w:szCs w:val="28"/>
        </w:rPr>
      </w:pPr>
    </w:p>
    <w:p w14:paraId="20311387" w14:textId="77777777" w:rsidR="00444F2C" w:rsidRPr="00444F2C" w:rsidRDefault="00444F2C" w:rsidP="002A13EB">
      <w:pPr>
        <w:spacing w:after="0" w:line="276" w:lineRule="auto"/>
        <w:ind w:firstLine="633"/>
        <w:jc w:val="both"/>
        <w:rPr>
          <w:rFonts w:cs="Times New Roman"/>
          <w:bCs/>
          <w:color w:val="000000" w:themeColor="text1"/>
          <w:kern w:val="0"/>
          <w:szCs w:val="28"/>
          <w14:ligatures w14:val="none"/>
        </w:rPr>
      </w:pPr>
      <w:r w:rsidRPr="00444F2C">
        <w:rPr>
          <w:rFonts w:cs="Times New Roman"/>
          <w:bCs/>
          <w:color w:val="000000" w:themeColor="text1"/>
          <w:kern w:val="0"/>
          <w:szCs w:val="28"/>
          <w14:ligatures w14:val="none"/>
        </w:rPr>
        <w:t xml:space="preserve">Аналитическое агентство </w:t>
      </w:r>
      <w:proofErr w:type="spellStart"/>
      <w:r w:rsidRPr="00444F2C">
        <w:rPr>
          <w:rFonts w:cs="Times New Roman"/>
          <w:bCs/>
          <w:color w:val="000000" w:themeColor="text1"/>
          <w:kern w:val="0"/>
          <w:szCs w:val="28"/>
          <w14:ligatures w14:val="none"/>
        </w:rPr>
        <w:t>Morningstar</w:t>
      </w:r>
      <w:proofErr w:type="spellEnd"/>
      <w:r w:rsidRPr="00444F2C">
        <w:rPr>
          <w:rFonts w:cs="Times New Roman"/>
          <w:bCs/>
          <w:color w:val="000000" w:themeColor="text1"/>
          <w:kern w:val="0"/>
          <w:szCs w:val="28"/>
          <w14:ligatures w14:val="none"/>
        </w:rPr>
        <w:t xml:space="preserve"> заявляет, что рынок перестрахования вступает в фазу «мягкого» цикла, для которой характерны избыток капитала и снижение цен, особенно в сегменте катастрофических </w:t>
      </w:r>
      <w:r w:rsidRPr="00444F2C">
        <w:rPr>
          <w:rFonts w:cs="Times New Roman"/>
          <w:bCs/>
          <w:color w:val="000000" w:themeColor="text1"/>
          <w:kern w:val="0"/>
          <w:szCs w:val="28"/>
          <w14:ligatures w14:val="none"/>
        </w:rPr>
        <w:lastRenderedPageBreak/>
        <w:t>рисков. Однако эта тенденция формирует сложную и противоречивую среду для сектора, поскольку она развивается на фоне растущих убытков, связанных с изменением климата.</w:t>
      </w:r>
    </w:p>
    <w:p w14:paraId="15C6EA34" w14:textId="77777777" w:rsidR="00444F2C" w:rsidRPr="00444F2C" w:rsidRDefault="00444F2C" w:rsidP="002A13EB">
      <w:pPr>
        <w:spacing w:after="0" w:line="276" w:lineRule="auto"/>
        <w:ind w:firstLine="633"/>
        <w:jc w:val="both"/>
        <w:rPr>
          <w:rFonts w:cs="Times New Roman"/>
          <w:bCs/>
          <w:color w:val="000000" w:themeColor="text1"/>
          <w:kern w:val="0"/>
          <w:szCs w:val="28"/>
          <w14:ligatures w14:val="none"/>
        </w:rPr>
      </w:pPr>
      <w:r w:rsidRPr="00444F2C">
        <w:rPr>
          <w:rFonts w:cs="Times New Roman"/>
          <w:bCs/>
          <w:color w:val="000000" w:themeColor="text1"/>
          <w:kern w:val="0"/>
          <w:szCs w:val="28"/>
          <w14:ligatures w14:val="none"/>
        </w:rPr>
        <w:t>Согласно последнему анализу агентства, в публичном пространстве часто обсуждают рост частоты природных катастроф, однако для страховой отрасли ключевой проблемой является не столько частота, сколько растущая тяжесть убытков от этих событий, которая непосредственно бьет по их финансовым результатам.</w:t>
      </w:r>
    </w:p>
    <w:p w14:paraId="0B137D4C" w14:textId="77777777" w:rsidR="00444F2C" w:rsidRPr="00444F2C" w:rsidRDefault="00444F2C" w:rsidP="002A13EB">
      <w:pPr>
        <w:spacing w:after="0" w:line="276" w:lineRule="auto"/>
        <w:ind w:firstLine="633"/>
        <w:jc w:val="both"/>
        <w:rPr>
          <w:rFonts w:cs="Times New Roman"/>
          <w:bCs/>
          <w:color w:val="000000" w:themeColor="text1"/>
          <w:kern w:val="0"/>
          <w:szCs w:val="28"/>
          <w14:ligatures w14:val="none"/>
        </w:rPr>
      </w:pPr>
      <w:r w:rsidRPr="00444F2C">
        <w:rPr>
          <w:rFonts w:cs="Times New Roman"/>
          <w:bCs/>
          <w:color w:val="000000" w:themeColor="text1"/>
          <w:kern w:val="0"/>
          <w:szCs w:val="28"/>
          <w14:ligatures w14:val="none"/>
        </w:rPr>
        <w:t xml:space="preserve">Как отметил Генри </w:t>
      </w:r>
      <w:proofErr w:type="spellStart"/>
      <w:r w:rsidRPr="00444F2C">
        <w:rPr>
          <w:rFonts w:cs="Times New Roman"/>
          <w:bCs/>
          <w:color w:val="000000" w:themeColor="text1"/>
          <w:kern w:val="0"/>
          <w:szCs w:val="28"/>
          <w14:ligatures w14:val="none"/>
        </w:rPr>
        <w:t>Хитфилд</w:t>
      </w:r>
      <w:proofErr w:type="spellEnd"/>
      <w:r w:rsidRPr="00444F2C">
        <w:rPr>
          <w:rFonts w:cs="Times New Roman"/>
          <w:bCs/>
          <w:color w:val="000000" w:themeColor="text1"/>
          <w:kern w:val="0"/>
          <w:szCs w:val="28"/>
          <w14:ligatures w14:val="none"/>
        </w:rPr>
        <w:t xml:space="preserve">, аналитик </w:t>
      </w:r>
      <w:proofErr w:type="spellStart"/>
      <w:r w:rsidRPr="00444F2C">
        <w:rPr>
          <w:rFonts w:cs="Times New Roman"/>
          <w:bCs/>
          <w:color w:val="000000" w:themeColor="text1"/>
          <w:kern w:val="0"/>
          <w:szCs w:val="28"/>
          <w14:ligatures w14:val="none"/>
        </w:rPr>
        <w:t>Morningstar</w:t>
      </w:r>
      <w:proofErr w:type="spellEnd"/>
      <w:r w:rsidRPr="00444F2C">
        <w:rPr>
          <w:rFonts w:cs="Times New Roman"/>
          <w:bCs/>
          <w:color w:val="000000" w:themeColor="text1"/>
          <w:kern w:val="0"/>
          <w:szCs w:val="28"/>
          <w14:ligatures w14:val="none"/>
        </w:rPr>
        <w:t xml:space="preserve">, «ожидается, что изменение климата может стимулировать объемы бизнеса перестраховщиков в долгосрочной перспективе, однако текущая избыточная капитализация формирует условия "мягкого" рынка на среднесрочном горизонте». Эта избыточность спровоцировала разворот перестраховочного цикла, который уже полностью проявился в риск-скорректированном ценообразовании и индексе </w:t>
      </w:r>
      <w:proofErr w:type="spellStart"/>
      <w:r w:rsidRPr="00444F2C">
        <w:rPr>
          <w:rFonts w:cs="Times New Roman"/>
          <w:bCs/>
          <w:color w:val="000000" w:themeColor="text1"/>
          <w:kern w:val="0"/>
          <w:szCs w:val="28"/>
          <w14:ligatures w14:val="none"/>
        </w:rPr>
        <w:t>Guy</w:t>
      </w:r>
      <w:proofErr w:type="spellEnd"/>
      <w:r w:rsidRPr="00444F2C">
        <w:rPr>
          <w:rFonts w:cs="Times New Roman"/>
          <w:bCs/>
          <w:color w:val="000000" w:themeColor="text1"/>
          <w:kern w:val="0"/>
          <w:szCs w:val="28"/>
          <w14:ligatures w14:val="none"/>
        </w:rPr>
        <w:t xml:space="preserve"> </w:t>
      </w:r>
      <w:proofErr w:type="spellStart"/>
      <w:r w:rsidRPr="00444F2C">
        <w:rPr>
          <w:rFonts w:cs="Times New Roman"/>
          <w:bCs/>
          <w:color w:val="000000" w:themeColor="text1"/>
          <w:kern w:val="0"/>
          <w:szCs w:val="28"/>
          <w14:ligatures w14:val="none"/>
        </w:rPr>
        <w:t>Carpenter</w:t>
      </w:r>
      <w:proofErr w:type="spellEnd"/>
      <w:r w:rsidRPr="00444F2C">
        <w:rPr>
          <w:rFonts w:cs="Times New Roman"/>
          <w:bCs/>
          <w:color w:val="000000" w:themeColor="text1"/>
          <w:kern w:val="0"/>
          <w:szCs w:val="28"/>
          <w14:ligatures w14:val="none"/>
        </w:rPr>
        <w:t xml:space="preserve">. Наибольшее давление на цены испытывают такие направления, как договоры </w:t>
      </w:r>
      <w:proofErr w:type="spellStart"/>
      <w:r w:rsidRPr="00444F2C">
        <w:rPr>
          <w:rFonts w:cs="Times New Roman"/>
          <w:bCs/>
          <w:color w:val="000000" w:themeColor="text1"/>
          <w:kern w:val="0"/>
          <w:szCs w:val="28"/>
          <w14:ligatures w14:val="none"/>
        </w:rPr>
        <w:t>эксцедента</w:t>
      </w:r>
      <w:proofErr w:type="spellEnd"/>
      <w:r w:rsidRPr="00444F2C">
        <w:rPr>
          <w:rFonts w:cs="Times New Roman"/>
          <w:bCs/>
          <w:color w:val="000000" w:themeColor="text1"/>
          <w:kern w:val="0"/>
          <w:szCs w:val="28"/>
          <w14:ligatures w14:val="none"/>
        </w:rPr>
        <w:t xml:space="preserve"> убытка по имущественным рискам и покрытие природных катастроф.</w:t>
      </w:r>
    </w:p>
    <w:p w14:paraId="05BA8D20" w14:textId="77777777" w:rsidR="00444F2C" w:rsidRPr="00444F2C" w:rsidRDefault="00444F2C" w:rsidP="002A13EB">
      <w:pPr>
        <w:spacing w:after="0" w:line="276" w:lineRule="auto"/>
        <w:ind w:firstLine="633"/>
        <w:jc w:val="both"/>
        <w:rPr>
          <w:rFonts w:cs="Times New Roman"/>
          <w:bCs/>
          <w:color w:val="000000" w:themeColor="text1"/>
          <w:kern w:val="0"/>
          <w:szCs w:val="28"/>
          <w14:ligatures w14:val="none"/>
        </w:rPr>
      </w:pPr>
      <w:r w:rsidRPr="00444F2C">
        <w:rPr>
          <w:rFonts w:cs="Times New Roman"/>
          <w:bCs/>
          <w:color w:val="000000" w:themeColor="text1"/>
          <w:kern w:val="0"/>
          <w:szCs w:val="28"/>
          <w14:ligatures w14:val="none"/>
        </w:rPr>
        <w:t>Он добавил, что страховая и перестраховочная отрасль отличается высокой цикличностью, особенно в сегменте имущественного страхования и страхования ответственности, где с 2021 года сохранялась благоприятная ценовая среда. Обычно низкая емкость рынка ведет к росту спроса и повышению цен. Это, в свою очередь, увеличивает доходность капитала и привлекает новых инвесторов. Избыток привлеченного капитала в конечном итоге снова давит на цены и прибыльность. Последний цикл был несколько смазан из-за использования катастрофных облигаций, расчеты по которым могут занимать до двух лет, что отсрочило наступление «жесткого» рынка. По мнению агентства, пик укрепления рынка пришелся на прошлый год, но его полное влияние на прибыль перестраховщиков может проявиться лишь через один-два года, после чего вероятны стагнация или снижение прибыльности.</w:t>
      </w:r>
    </w:p>
    <w:p w14:paraId="484C4396" w14:textId="60C4C729" w:rsidR="00AC47FD" w:rsidRPr="00274296" w:rsidRDefault="00444F2C" w:rsidP="002A13EB">
      <w:pPr>
        <w:spacing w:after="0" w:line="276" w:lineRule="auto"/>
        <w:ind w:firstLine="633"/>
        <w:jc w:val="both"/>
        <w:rPr>
          <w:rFonts w:cs="Times New Roman"/>
          <w:bCs/>
          <w:color w:val="000000" w:themeColor="text1"/>
          <w:kern w:val="0"/>
          <w:szCs w:val="28"/>
          <w14:ligatures w14:val="none"/>
        </w:rPr>
      </w:pPr>
      <w:proofErr w:type="spellStart"/>
      <w:r w:rsidRPr="00444F2C">
        <w:rPr>
          <w:rFonts w:cs="Times New Roman"/>
          <w:bCs/>
          <w:color w:val="000000" w:themeColor="text1"/>
          <w:kern w:val="0"/>
          <w:szCs w:val="28"/>
          <w14:ligatures w14:val="none"/>
        </w:rPr>
        <w:t>Morningstar</w:t>
      </w:r>
      <w:proofErr w:type="spellEnd"/>
      <w:r w:rsidRPr="00444F2C">
        <w:rPr>
          <w:rFonts w:cs="Times New Roman"/>
          <w:bCs/>
          <w:color w:val="000000" w:themeColor="text1"/>
          <w:kern w:val="0"/>
          <w:szCs w:val="28"/>
          <w14:ligatures w14:val="none"/>
        </w:rPr>
        <w:t xml:space="preserve"> указывает, что частота крупных убыточных событий, возможно, стабилизировалась, но их тяжесть продолжает неуклонно расти. Это должно увеличить спрос на страховое и перестраховочное покрытие, стимулируемый растущей осведомленностью клиентов, тем самым сокращая страховой разрыв. Агентство резюмирует, что, по сути, это история роста объемов, которая в долгосрочной перспективе поддерживает выручку перестраховщиков. В среднесрочной же перспективе доминирующим </w:t>
      </w:r>
      <w:r w:rsidRPr="00444F2C">
        <w:rPr>
          <w:rFonts w:cs="Times New Roman"/>
          <w:bCs/>
          <w:color w:val="000000" w:themeColor="text1"/>
          <w:kern w:val="0"/>
          <w:szCs w:val="28"/>
          <w14:ligatures w14:val="none"/>
        </w:rPr>
        <w:lastRenderedPageBreak/>
        <w:t>фактором оказывается переизбыток капитала, который и определяет текущую конъюнктуру рынка.</w:t>
      </w:r>
    </w:p>
    <w:p w14:paraId="578FADB3" w14:textId="064350BC" w:rsidR="002E6B38" w:rsidRPr="00444F2C" w:rsidRDefault="002E6B38" w:rsidP="002A13EB">
      <w:pPr>
        <w:spacing w:after="0" w:line="276" w:lineRule="auto"/>
        <w:ind w:firstLine="633"/>
        <w:jc w:val="both"/>
      </w:pPr>
      <w:r w:rsidRPr="00274296">
        <w:rPr>
          <w:rFonts w:cs="Times New Roman"/>
          <w:b/>
          <w:bCs/>
          <w:szCs w:val="28"/>
        </w:rPr>
        <w:t>Источник</w:t>
      </w:r>
      <w:r w:rsidRPr="00274296">
        <w:rPr>
          <w:rFonts w:cs="Times New Roman"/>
          <w:bCs/>
          <w:szCs w:val="28"/>
        </w:rPr>
        <w:t xml:space="preserve">: </w:t>
      </w:r>
      <w:hyperlink r:id="rId10" w:history="1">
        <w:r w:rsidR="00444F2C" w:rsidRPr="0015210C">
          <w:rPr>
            <w:rStyle w:val="ac"/>
          </w:rPr>
          <w:t>https://www.commercialriskonline.com/morningstar-warns-of-challenging-environment-for-reinsurance-sector/</w:t>
        </w:r>
      </w:hyperlink>
      <w:r w:rsidR="00444F2C">
        <w:t>30</w:t>
      </w:r>
      <w:r w:rsidRPr="00274296">
        <w:rPr>
          <w:rFonts w:cs="Times New Roman"/>
          <w:bCs/>
          <w:szCs w:val="28"/>
        </w:rPr>
        <w:t>.1</w:t>
      </w:r>
      <w:r w:rsidR="00444F2C">
        <w:rPr>
          <w:rFonts w:cs="Times New Roman"/>
          <w:bCs/>
          <w:szCs w:val="28"/>
        </w:rPr>
        <w:t>1</w:t>
      </w:r>
      <w:r w:rsidRPr="00274296">
        <w:rPr>
          <w:rFonts w:cs="Times New Roman"/>
          <w:bCs/>
          <w:szCs w:val="28"/>
        </w:rPr>
        <w:t xml:space="preserve">.2025 </w:t>
      </w:r>
    </w:p>
    <w:p w14:paraId="7CDA2378" w14:textId="77777777" w:rsidR="002E6B38" w:rsidRPr="00274296" w:rsidRDefault="002E6B38" w:rsidP="002A13EB">
      <w:pPr>
        <w:spacing w:after="0" w:line="276" w:lineRule="auto"/>
        <w:ind w:firstLine="633"/>
        <w:jc w:val="both"/>
        <w:rPr>
          <w:rFonts w:cs="Times New Roman"/>
          <w:bCs/>
          <w:color w:val="000000" w:themeColor="text1"/>
          <w:kern w:val="0"/>
          <w:szCs w:val="28"/>
          <w14:ligatures w14:val="none"/>
        </w:rPr>
      </w:pPr>
    </w:p>
    <w:p w14:paraId="7BA7FC34" w14:textId="2EF54004" w:rsidR="009850D6" w:rsidRDefault="002E6B38" w:rsidP="002A13EB">
      <w:pPr>
        <w:pStyle w:val="1"/>
        <w:spacing w:before="0" w:after="0" w:line="276" w:lineRule="auto"/>
        <w:ind w:firstLine="633"/>
        <w:rPr>
          <w:rFonts w:ascii="Times New Roman" w:hAnsi="Times New Roman" w:cs="Times New Roman"/>
          <w:b/>
          <w:color w:val="000000" w:themeColor="text1"/>
          <w:kern w:val="0"/>
          <w:sz w:val="28"/>
          <w:szCs w:val="28"/>
          <w14:ligatures w14:val="none"/>
        </w:rPr>
      </w:pPr>
      <w:bookmarkStart w:id="3" w:name="_Toc215437181"/>
      <w:r w:rsidRPr="00274296">
        <w:rPr>
          <w:rFonts w:ascii="Times New Roman" w:hAnsi="Times New Roman" w:cs="Times New Roman"/>
          <w:b/>
          <w:color w:val="000000" w:themeColor="text1"/>
          <w:kern w:val="0"/>
          <w:sz w:val="28"/>
          <w:szCs w:val="28"/>
          <w14:ligatures w14:val="none"/>
        </w:rPr>
        <w:t xml:space="preserve">3. </w:t>
      </w:r>
      <w:proofErr w:type="spellStart"/>
      <w:r w:rsidR="001A0AA5" w:rsidRPr="001A0AA5">
        <w:rPr>
          <w:rFonts w:ascii="Times New Roman" w:hAnsi="Times New Roman" w:cs="Times New Roman"/>
          <w:b/>
          <w:color w:val="000000" w:themeColor="text1"/>
          <w:kern w:val="0"/>
          <w:sz w:val="28"/>
          <w:szCs w:val="28"/>
          <w14:ligatures w14:val="none"/>
        </w:rPr>
        <w:t>Riskonnect</w:t>
      </w:r>
      <w:proofErr w:type="spellEnd"/>
      <w:r w:rsidR="001A0AA5" w:rsidRPr="001A0AA5">
        <w:rPr>
          <w:rFonts w:ascii="Times New Roman" w:hAnsi="Times New Roman" w:cs="Times New Roman"/>
          <w:b/>
          <w:color w:val="000000" w:themeColor="text1"/>
          <w:kern w:val="0"/>
          <w:sz w:val="28"/>
          <w:szCs w:val="28"/>
          <w14:ligatures w14:val="none"/>
        </w:rPr>
        <w:t>: Использование ИИ для управления рисками растёт, а надзор за ним – нет</w:t>
      </w:r>
      <w:bookmarkEnd w:id="3"/>
    </w:p>
    <w:p w14:paraId="4805E4E2" w14:textId="77777777" w:rsidR="001A0AA5" w:rsidRPr="001A0AA5" w:rsidRDefault="001A0AA5" w:rsidP="002A13EB">
      <w:pPr>
        <w:spacing w:line="276" w:lineRule="auto"/>
      </w:pPr>
    </w:p>
    <w:p w14:paraId="1D3AF1A7" w14:textId="330B758B" w:rsidR="001A0AA5" w:rsidRPr="001A0AA5" w:rsidRDefault="001A0AA5" w:rsidP="002A13EB">
      <w:pPr>
        <w:spacing w:line="276" w:lineRule="auto"/>
        <w:rPr>
          <w:i/>
          <w:iCs/>
        </w:rPr>
      </w:pPr>
      <w:r w:rsidRPr="001A0AA5">
        <w:rPr>
          <w:i/>
          <w:iCs/>
        </w:rPr>
        <w:t>62% руководителей по рискам (CRO) связывают эскалацию торговых войн с ростом риска кибератак.</w:t>
      </w:r>
    </w:p>
    <w:p w14:paraId="05419DDA" w14:textId="76F7AD4B"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Согласно новому опросу </w:t>
      </w:r>
      <w:proofErr w:type="spellStart"/>
      <w:r w:rsidRPr="001A0AA5">
        <w:rPr>
          <w:rFonts w:cs="Times New Roman"/>
          <w:bCs/>
          <w:color w:val="000000" w:themeColor="text1"/>
          <w:kern w:val="0"/>
          <w:szCs w:val="28"/>
          <w14:ligatures w14:val="none"/>
        </w:rPr>
        <w:t>Riskonnect</w:t>
      </w:r>
      <w:proofErr w:type="spellEnd"/>
      <w:r w:rsidRPr="001A0AA5">
        <w:rPr>
          <w:rFonts w:cs="Times New Roman"/>
          <w:bCs/>
          <w:color w:val="000000" w:themeColor="text1"/>
          <w:kern w:val="0"/>
          <w:szCs w:val="28"/>
          <w14:ligatures w14:val="none"/>
        </w:rPr>
        <w:t xml:space="preserve">, компании всё чаще нанимают руководителей по рискам, и вместе с этим растёт применение искусственного интеллекта (ИИ) в управлении рисками. На сегодняшний день 60% организаций имеют в штате CRO, тогда как два года назад эта цифра составляла 52%. Параллельно увеличивается внедрение ИИ: сейчас 70% CRO используют или планируют использовать искусственный интеллект по сравнению с 62% в 2024 году. Самое распространённое применение ИИ </w:t>
      </w:r>
      <w:r>
        <w:rPr>
          <w:rFonts w:cs="Times New Roman"/>
          <w:bCs/>
          <w:color w:val="000000" w:themeColor="text1"/>
          <w:kern w:val="0"/>
          <w:szCs w:val="28"/>
          <w14:ligatures w14:val="none"/>
        </w:rPr>
        <w:t>–</w:t>
      </w:r>
      <w:r w:rsidRPr="001A0AA5">
        <w:rPr>
          <w:rFonts w:cs="Times New Roman"/>
          <w:bCs/>
          <w:color w:val="000000" w:themeColor="text1"/>
          <w:kern w:val="0"/>
          <w:szCs w:val="28"/>
          <w14:ligatures w14:val="none"/>
        </w:rPr>
        <w:t xml:space="preserve"> выявление</w:t>
      </w:r>
      <w:r>
        <w:rPr>
          <w:rFonts w:cs="Times New Roman"/>
          <w:bCs/>
          <w:color w:val="000000" w:themeColor="text1"/>
          <w:kern w:val="0"/>
          <w:szCs w:val="28"/>
          <w14:ligatures w14:val="none"/>
        </w:rPr>
        <w:t xml:space="preserve"> </w:t>
      </w:r>
      <w:r w:rsidRPr="001A0AA5">
        <w:rPr>
          <w:rFonts w:cs="Times New Roman"/>
          <w:bCs/>
          <w:color w:val="000000" w:themeColor="text1"/>
          <w:kern w:val="0"/>
          <w:szCs w:val="28"/>
          <w14:ligatures w14:val="none"/>
        </w:rPr>
        <w:t>рисков (34% в 2025 году против 29% в 2024 году). К другим вариантам использования относятся прогнозирование рисков, сценарное планирование и симуляции, а также ведение реестров рисков.</w:t>
      </w:r>
    </w:p>
    <w:p w14:paraId="683FE2F8" w14:textId="77777777"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Однако 40% опрошенных CRO признались, что по-прежнему в основном пользуются электронными таблицами (</w:t>
      </w:r>
      <w:proofErr w:type="spellStart"/>
      <w:r w:rsidRPr="001A0AA5">
        <w:rPr>
          <w:rFonts w:cs="Times New Roman"/>
          <w:bCs/>
          <w:color w:val="000000" w:themeColor="text1"/>
          <w:kern w:val="0"/>
          <w:szCs w:val="28"/>
          <w14:ligatures w14:val="none"/>
        </w:rPr>
        <w:t>Excel</w:t>
      </w:r>
      <w:proofErr w:type="spellEnd"/>
      <w:r w:rsidRPr="001A0AA5">
        <w:rPr>
          <w:rFonts w:cs="Times New Roman"/>
          <w:bCs/>
          <w:color w:val="000000" w:themeColor="text1"/>
          <w:kern w:val="0"/>
          <w:szCs w:val="28"/>
          <w14:ligatures w14:val="none"/>
        </w:rPr>
        <w:t xml:space="preserve">, </w:t>
      </w:r>
      <w:proofErr w:type="spellStart"/>
      <w:r w:rsidRPr="001A0AA5">
        <w:rPr>
          <w:rFonts w:cs="Times New Roman"/>
          <w:bCs/>
          <w:color w:val="000000" w:themeColor="text1"/>
          <w:kern w:val="0"/>
          <w:szCs w:val="28"/>
          <w14:ligatures w14:val="none"/>
        </w:rPr>
        <w:t>Google</w:t>
      </w:r>
      <w:proofErr w:type="spellEnd"/>
      <w:r w:rsidRPr="001A0AA5">
        <w:rPr>
          <w:rFonts w:cs="Times New Roman"/>
          <w:bCs/>
          <w:color w:val="000000" w:themeColor="text1"/>
          <w:kern w:val="0"/>
          <w:szCs w:val="28"/>
          <w14:ligatures w14:val="none"/>
        </w:rPr>
        <w:t xml:space="preserve"> </w:t>
      </w:r>
      <w:proofErr w:type="spellStart"/>
      <w:r w:rsidRPr="001A0AA5">
        <w:rPr>
          <w:rFonts w:cs="Times New Roman"/>
          <w:bCs/>
          <w:color w:val="000000" w:themeColor="text1"/>
          <w:kern w:val="0"/>
          <w:szCs w:val="28"/>
          <w14:ligatures w14:val="none"/>
        </w:rPr>
        <w:t>Sheets</w:t>
      </w:r>
      <w:proofErr w:type="spellEnd"/>
      <w:r w:rsidRPr="001A0AA5">
        <w:rPr>
          <w:rFonts w:cs="Times New Roman"/>
          <w:bCs/>
          <w:color w:val="000000" w:themeColor="text1"/>
          <w:kern w:val="0"/>
          <w:szCs w:val="28"/>
          <w14:ligatures w14:val="none"/>
        </w:rPr>
        <w:t xml:space="preserve"> и т.д.).</w:t>
      </w:r>
    </w:p>
    <w:p w14:paraId="0D319015" w14:textId="77777777"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Несмотря на растущее использование ИИ, компании не до конца ему доверяют, особенно когда речь идет о генеративном ИИ. 55% компаний, рассматривающих внедрение систем на основе ИИ-агентов, признают, что ещё не оценили все связанные с ними риски. Опрос также показал, что у 42% респондентов отсутствует внутренняя политика по использованию ИИ, а 72% не имеют соответствующих договорённостей с партнёрами и поставщиками. 75% опрошенных не располагают планом действий против угроз, связанных с генеративным ИИ, таких как дипфейки и мошеннические ИИ-боты. Лишь 15% компаний создали резервный фонд для покрытия ущерба, связанного с ИИ.</w:t>
      </w:r>
    </w:p>
    <w:p w14:paraId="2E84B3FF" w14:textId="77777777"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Тем не менее, исследование </w:t>
      </w:r>
      <w:proofErr w:type="spellStart"/>
      <w:r w:rsidRPr="001A0AA5">
        <w:rPr>
          <w:rFonts w:cs="Times New Roman"/>
          <w:bCs/>
          <w:color w:val="000000" w:themeColor="text1"/>
          <w:kern w:val="0"/>
          <w:szCs w:val="28"/>
          <w14:ligatures w14:val="none"/>
        </w:rPr>
        <w:t>Riskonnect</w:t>
      </w:r>
      <w:proofErr w:type="spellEnd"/>
      <w:r w:rsidRPr="001A0AA5">
        <w:rPr>
          <w:rFonts w:cs="Times New Roman"/>
          <w:bCs/>
          <w:color w:val="000000" w:themeColor="text1"/>
          <w:kern w:val="0"/>
          <w:szCs w:val="28"/>
          <w14:ligatures w14:val="none"/>
        </w:rPr>
        <w:t xml:space="preserve"> выявило и положительную динамику: осведомлённость о рисках ИИ растёт. Доля компаний, проводящих брифинги по этой теме, увеличилась с 19% в прошлом году до 32%.</w:t>
      </w:r>
    </w:p>
    <w:p w14:paraId="1C2437D7" w14:textId="77777777"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Что касается защищённости от </w:t>
      </w:r>
      <w:proofErr w:type="spellStart"/>
      <w:r w:rsidRPr="001A0AA5">
        <w:rPr>
          <w:rFonts w:cs="Times New Roman"/>
          <w:bCs/>
          <w:color w:val="000000" w:themeColor="text1"/>
          <w:kern w:val="0"/>
          <w:szCs w:val="28"/>
          <w14:ligatures w14:val="none"/>
        </w:rPr>
        <w:t>киберкатастроф</w:t>
      </w:r>
      <w:proofErr w:type="spellEnd"/>
      <w:r w:rsidRPr="001A0AA5">
        <w:rPr>
          <w:rFonts w:cs="Times New Roman"/>
          <w:bCs/>
          <w:color w:val="000000" w:themeColor="text1"/>
          <w:kern w:val="0"/>
          <w:szCs w:val="28"/>
          <w14:ligatures w14:val="none"/>
        </w:rPr>
        <w:t xml:space="preserve">, таких как отказ серверов, то большинство (85%) респондентов утверждают, что у них есть </w:t>
      </w:r>
      <w:r w:rsidRPr="001A0AA5">
        <w:rPr>
          <w:rFonts w:cs="Times New Roman"/>
          <w:bCs/>
          <w:color w:val="000000" w:themeColor="text1"/>
          <w:kern w:val="0"/>
          <w:szCs w:val="28"/>
          <w14:ligatures w14:val="none"/>
        </w:rPr>
        <w:lastRenderedPageBreak/>
        <w:t xml:space="preserve">разработанный план обеспечения устойчивости. Однако если </w:t>
      </w:r>
      <w:proofErr w:type="spellStart"/>
      <w:r w:rsidRPr="001A0AA5">
        <w:rPr>
          <w:rFonts w:cs="Times New Roman"/>
          <w:bCs/>
          <w:color w:val="000000" w:themeColor="text1"/>
          <w:kern w:val="0"/>
          <w:szCs w:val="28"/>
          <w14:ligatures w14:val="none"/>
        </w:rPr>
        <w:t>киберкатастрофа</w:t>
      </w:r>
      <w:proofErr w:type="spellEnd"/>
      <w:r w:rsidRPr="001A0AA5">
        <w:rPr>
          <w:rFonts w:cs="Times New Roman"/>
          <w:bCs/>
          <w:color w:val="000000" w:themeColor="text1"/>
          <w:kern w:val="0"/>
          <w:szCs w:val="28"/>
          <w14:ligatures w14:val="none"/>
        </w:rPr>
        <w:t xml:space="preserve"> произойдёт у ключевого партнёра или поставщика, то лишь 8% компаний имеют четкий план действий. По мнению </w:t>
      </w:r>
      <w:proofErr w:type="spellStart"/>
      <w:r w:rsidRPr="001A0AA5">
        <w:rPr>
          <w:rFonts w:cs="Times New Roman"/>
          <w:bCs/>
          <w:color w:val="000000" w:themeColor="text1"/>
          <w:kern w:val="0"/>
          <w:szCs w:val="28"/>
          <w14:ligatures w14:val="none"/>
        </w:rPr>
        <w:t>Riskonnect</w:t>
      </w:r>
      <w:proofErr w:type="spellEnd"/>
      <w:r w:rsidRPr="001A0AA5">
        <w:rPr>
          <w:rFonts w:cs="Times New Roman"/>
          <w:bCs/>
          <w:color w:val="000000" w:themeColor="text1"/>
          <w:kern w:val="0"/>
          <w:szCs w:val="28"/>
          <w14:ligatures w14:val="none"/>
        </w:rPr>
        <w:t>, это свидетельствует о серьёзной уязвимости цепочек поставок.</w:t>
      </w:r>
    </w:p>
    <w:p w14:paraId="05661C87" w14:textId="589E7A30"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В сфере управления политическими рисками ситуация заметно улучшилась. Если в 2024 году план по их управлению был лишь у 19% компаний, то в этом году </w:t>
      </w:r>
      <w:r>
        <w:rPr>
          <w:rFonts w:cs="Times New Roman"/>
          <w:bCs/>
          <w:color w:val="000000" w:themeColor="text1"/>
          <w:kern w:val="0"/>
          <w:szCs w:val="28"/>
          <w14:ligatures w14:val="none"/>
        </w:rPr>
        <w:t>–</w:t>
      </w:r>
      <w:r w:rsidRPr="001A0AA5">
        <w:rPr>
          <w:rFonts w:cs="Times New Roman"/>
          <w:bCs/>
          <w:color w:val="000000" w:themeColor="text1"/>
          <w:kern w:val="0"/>
          <w:szCs w:val="28"/>
          <w14:ligatures w14:val="none"/>
        </w:rPr>
        <w:t xml:space="preserve"> уже</w:t>
      </w:r>
      <w:r>
        <w:rPr>
          <w:rFonts w:cs="Times New Roman"/>
          <w:bCs/>
          <w:color w:val="000000" w:themeColor="text1"/>
          <w:kern w:val="0"/>
          <w:szCs w:val="28"/>
          <w14:ligatures w14:val="none"/>
        </w:rPr>
        <w:t xml:space="preserve"> </w:t>
      </w:r>
      <w:r w:rsidRPr="001A0AA5">
        <w:rPr>
          <w:rFonts w:cs="Times New Roman"/>
          <w:bCs/>
          <w:color w:val="000000" w:themeColor="text1"/>
          <w:kern w:val="0"/>
          <w:szCs w:val="28"/>
          <w14:ligatures w14:val="none"/>
        </w:rPr>
        <w:t>у 66%. Это неудивительно, поскольку политические риски в текущем году заняли третье место в рейтинге ключевых угроз, а 40% респондентов заявили, что ущерб от них является «значительным» или «серьёзным».</w:t>
      </w:r>
    </w:p>
    <w:p w14:paraId="5B438902" w14:textId="77777777" w:rsidR="001A0AA5" w:rsidRP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62% опрошенных связывают политические риски с </w:t>
      </w:r>
      <w:proofErr w:type="spellStart"/>
      <w:r w:rsidRPr="001A0AA5">
        <w:rPr>
          <w:rFonts w:cs="Times New Roman"/>
          <w:bCs/>
          <w:color w:val="000000" w:themeColor="text1"/>
          <w:kern w:val="0"/>
          <w:szCs w:val="28"/>
          <w14:ligatures w14:val="none"/>
        </w:rPr>
        <w:t>киберрисками</w:t>
      </w:r>
      <w:proofErr w:type="spellEnd"/>
      <w:r w:rsidRPr="001A0AA5">
        <w:rPr>
          <w:rFonts w:cs="Times New Roman"/>
          <w:bCs/>
          <w:color w:val="000000" w:themeColor="text1"/>
          <w:kern w:val="0"/>
          <w:szCs w:val="28"/>
          <w14:ligatures w14:val="none"/>
        </w:rPr>
        <w:t>, полагая, что новые межгосударственные конфликты и торговые войны могут привести к учащению кибератак.</w:t>
      </w:r>
    </w:p>
    <w:p w14:paraId="4006A8CA" w14:textId="77777777" w:rsidR="001A0AA5" w:rsidRDefault="001A0AA5" w:rsidP="002A13EB">
      <w:pPr>
        <w:spacing w:after="0" w:line="276" w:lineRule="auto"/>
        <w:ind w:firstLine="633"/>
        <w:jc w:val="both"/>
        <w:rPr>
          <w:rFonts w:cs="Times New Roman"/>
          <w:bCs/>
          <w:color w:val="000000" w:themeColor="text1"/>
          <w:kern w:val="0"/>
          <w:szCs w:val="28"/>
          <w14:ligatures w14:val="none"/>
        </w:rPr>
      </w:pPr>
      <w:r w:rsidRPr="001A0AA5">
        <w:rPr>
          <w:rFonts w:cs="Times New Roman"/>
          <w:bCs/>
          <w:color w:val="000000" w:themeColor="text1"/>
          <w:kern w:val="0"/>
          <w:szCs w:val="28"/>
          <w14:ligatures w14:val="none"/>
        </w:rPr>
        <w:t xml:space="preserve">Глава </w:t>
      </w:r>
      <w:proofErr w:type="spellStart"/>
      <w:r w:rsidRPr="001A0AA5">
        <w:rPr>
          <w:rFonts w:cs="Times New Roman"/>
          <w:bCs/>
          <w:color w:val="000000" w:themeColor="text1"/>
          <w:kern w:val="0"/>
          <w:szCs w:val="28"/>
          <w14:ligatures w14:val="none"/>
        </w:rPr>
        <w:t>Riskonnect</w:t>
      </w:r>
      <w:proofErr w:type="spellEnd"/>
      <w:r w:rsidRPr="001A0AA5">
        <w:rPr>
          <w:rFonts w:cs="Times New Roman"/>
          <w:bCs/>
          <w:color w:val="000000" w:themeColor="text1"/>
          <w:kern w:val="0"/>
          <w:szCs w:val="28"/>
          <w14:ligatures w14:val="none"/>
        </w:rPr>
        <w:t xml:space="preserve"> Джим </w:t>
      </w:r>
      <w:proofErr w:type="spellStart"/>
      <w:r w:rsidRPr="001A0AA5">
        <w:rPr>
          <w:rFonts w:cs="Times New Roman"/>
          <w:bCs/>
          <w:color w:val="000000" w:themeColor="text1"/>
          <w:kern w:val="0"/>
          <w:szCs w:val="28"/>
          <w14:ligatures w14:val="none"/>
        </w:rPr>
        <w:t>Уиткамп</w:t>
      </w:r>
      <w:proofErr w:type="spellEnd"/>
      <w:r w:rsidRPr="001A0AA5">
        <w:rPr>
          <w:rFonts w:cs="Times New Roman"/>
          <w:bCs/>
          <w:color w:val="000000" w:themeColor="text1"/>
          <w:kern w:val="0"/>
          <w:szCs w:val="28"/>
          <w14:ligatures w14:val="none"/>
        </w:rPr>
        <w:t xml:space="preserve"> отметил, что в настоящее время наблюдается переплетение различных видов рисков: геополитических, политических, кибер- и технологических. Скорость, с которой риски взаимосвязаны и меняются, опережает способность компаний разрабатывать планы по их снижению. Он также посоветовал компаниям скорректировать свои стратегии, чтобы сделать «устойчивость» их ключевым компонентом.</w:t>
      </w:r>
    </w:p>
    <w:p w14:paraId="4911C1C2" w14:textId="77777777" w:rsidR="001A0AA5" w:rsidRDefault="001A0AA5" w:rsidP="002A13EB">
      <w:pPr>
        <w:spacing w:line="276" w:lineRule="auto"/>
        <w:rPr>
          <w:szCs w:val="28"/>
        </w:rPr>
      </w:pPr>
    </w:p>
    <w:p w14:paraId="26D709AE" w14:textId="49431A40" w:rsidR="001A0AA5" w:rsidRPr="001A0AA5" w:rsidRDefault="001A0AA5" w:rsidP="002A13EB">
      <w:pPr>
        <w:spacing w:line="276" w:lineRule="auto"/>
        <w:rPr>
          <w:szCs w:val="28"/>
        </w:rPr>
      </w:pPr>
      <w:r w:rsidRPr="001A0AA5">
        <w:rPr>
          <w:szCs w:val="28"/>
        </w:rPr>
        <w:t xml:space="preserve">Ознакомиться с отчетом по рискам от </w:t>
      </w:r>
      <w:r w:rsidRPr="001A0AA5">
        <w:rPr>
          <w:szCs w:val="28"/>
          <w:lang w:val="en-US"/>
        </w:rPr>
        <w:t>Riskonnect</w:t>
      </w:r>
      <w:r w:rsidRPr="001A0AA5">
        <w:rPr>
          <w:szCs w:val="28"/>
        </w:rPr>
        <w:t xml:space="preserve"> можно </w:t>
      </w:r>
      <w:hyperlink r:id="rId11" w:history="1">
        <w:r w:rsidRPr="001A0AA5">
          <w:rPr>
            <w:rStyle w:val="ac"/>
            <w:szCs w:val="28"/>
          </w:rPr>
          <w:t>здесь</w:t>
        </w:r>
      </w:hyperlink>
      <w:r>
        <w:rPr>
          <w:szCs w:val="28"/>
        </w:rPr>
        <w:t>.</w:t>
      </w:r>
    </w:p>
    <w:p w14:paraId="290DC7A0" w14:textId="33BCFB7B" w:rsidR="002E6B38" w:rsidRPr="00274296" w:rsidRDefault="002E6B38" w:rsidP="002A13EB">
      <w:pPr>
        <w:spacing w:after="0" w:line="276" w:lineRule="auto"/>
        <w:ind w:firstLine="633"/>
        <w:jc w:val="both"/>
        <w:rPr>
          <w:rFonts w:cs="Times New Roman"/>
          <w:szCs w:val="28"/>
        </w:rPr>
      </w:pPr>
      <w:r w:rsidRPr="00274296">
        <w:rPr>
          <w:rFonts w:cs="Times New Roman"/>
          <w:b/>
          <w:bCs/>
          <w:szCs w:val="28"/>
        </w:rPr>
        <w:t>Источник</w:t>
      </w:r>
      <w:r w:rsidRPr="00274296">
        <w:rPr>
          <w:rFonts w:cs="Times New Roman"/>
          <w:bCs/>
          <w:szCs w:val="28"/>
        </w:rPr>
        <w:t>:</w:t>
      </w:r>
      <w:hyperlink r:id="rId12" w:history="1">
        <w:r w:rsidR="001A0AA5" w:rsidRPr="0015210C">
          <w:rPr>
            <w:rStyle w:val="ac"/>
          </w:rPr>
          <w:t>https://www.commercialriskonline.com/rise-in-ai-risk-management-and-cros-finds-riskonnect/</w:t>
        </w:r>
      </w:hyperlink>
      <w:r w:rsidR="001A0AA5">
        <w:t xml:space="preserve"> </w:t>
      </w:r>
      <w:r w:rsidR="001A0AA5">
        <w:rPr>
          <w:rFonts w:cs="Times New Roman"/>
          <w:bCs/>
          <w:szCs w:val="28"/>
        </w:rPr>
        <w:t>30</w:t>
      </w:r>
      <w:r w:rsidRPr="00274296">
        <w:rPr>
          <w:rFonts w:cs="Times New Roman"/>
          <w:bCs/>
          <w:szCs w:val="28"/>
        </w:rPr>
        <w:t>.1</w:t>
      </w:r>
      <w:r w:rsidR="001A0AA5">
        <w:rPr>
          <w:rFonts w:cs="Times New Roman"/>
          <w:bCs/>
          <w:szCs w:val="28"/>
        </w:rPr>
        <w:t>1</w:t>
      </w:r>
      <w:r w:rsidRPr="00274296">
        <w:rPr>
          <w:rFonts w:cs="Times New Roman"/>
          <w:bCs/>
          <w:szCs w:val="28"/>
        </w:rPr>
        <w:t xml:space="preserve">.2025 </w:t>
      </w:r>
    </w:p>
    <w:p w14:paraId="3C3036A2" w14:textId="20ACC822" w:rsidR="002E6B38" w:rsidRPr="00274296" w:rsidRDefault="002E6B38" w:rsidP="002A13EB">
      <w:pPr>
        <w:spacing w:after="0" w:line="276" w:lineRule="auto"/>
        <w:ind w:firstLine="633"/>
        <w:jc w:val="both"/>
        <w:rPr>
          <w:rFonts w:cs="Times New Roman"/>
          <w:szCs w:val="28"/>
        </w:rPr>
      </w:pPr>
    </w:p>
    <w:p w14:paraId="1F868DAE" w14:textId="0E26AC9D" w:rsidR="002E6B38" w:rsidRPr="00A71B34" w:rsidRDefault="000D5F0E" w:rsidP="002A13EB">
      <w:pPr>
        <w:pStyle w:val="1"/>
        <w:spacing w:before="0" w:after="0" w:line="276" w:lineRule="auto"/>
        <w:ind w:firstLine="633"/>
        <w:rPr>
          <w:rFonts w:ascii="Times New Roman" w:hAnsi="Times New Roman" w:cs="Times New Roman"/>
          <w:b/>
          <w:color w:val="000000" w:themeColor="text1"/>
          <w:kern w:val="0"/>
          <w:sz w:val="28"/>
          <w:szCs w:val="28"/>
          <w14:ligatures w14:val="none"/>
        </w:rPr>
      </w:pPr>
      <w:bookmarkStart w:id="4" w:name="_Toc215437182"/>
      <w:r w:rsidRPr="00274296">
        <w:rPr>
          <w:rFonts w:ascii="Times New Roman" w:hAnsi="Times New Roman" w:cs="Times New Roman"/>
          <w:b/>
          <w:color w:val="000000" w:themeColor="text1"/>
          <w:kern w:val="0"/>
          <w:sz w:val="28"/>
          <w:szCs w:val="28"/>
          <w14:ligatures w14:val="none"/>
        </w:rPr>
        <w:t xml:space="preserve">4. </w:t>
      </w:r>
      <w:r w:rsidR="00BC0123" w:rsidRPr="00BC0123">
        <w:rPr>
          <w:rFonts w:ascii="Times New Roman" w:hAnsi="Times New Roman" w:cs="Times New Roman"/>
          <w:b/>
          <w:color w:val="000000" w:themeColor="text1"/>
          <w:kern w:val="0"/>
          <w:sz w:val="28"/>
          <w:szCs w:val="28"/>
          <w14:ligatures w14:val="none"/>
        </w:rPr>
        <w:t>Кража в Лувре – это сигнал о пересмотре музеями протоколов безопасности</w:t>
      </w:r>
      <w:bookmarkEnd w:id="4"/>
    </w:p>
    <w:p w14:paraId="0D1C5111" w14:textId="61DE7A99" w:rsidR="002A13EB" w:rsidRP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t xml:space="preserve">После дерзкой кражи в парижском Лувре, произошедшей в момент открытия музея, ведущий эксперт призвал музеи по всему миру срочно пересмотреть свои протоколы безопасности. Джеймс </w:t>
      </w:r>
      <w:proofErr w:type="spellStart"/>
      <w:r w:rsidRPr="002A13EB">
        <w:rPr>
          <w:rFonts w:cs="Times New Roman"/>
          <w:bCs/>
          <w:color w:val="000000" w:themeColor="text1"/>
          <w:kern w:val="0"/>
          <w:szCs w:val="28"/>
          <w14:ligatures w14:val="none"/>
        </w:rPr>
        <w:t>Рэтклифф</w:t>
      </w:r>
      <w:proofErr w:type="spellEnd"/>
      <w:r w:rsidRPr="002A13EB">
        <w:rPr>
          <w:rFonts w:cs="Times New Roman"/>
          <w:bCs/>
          <w:color w:val="000000" w:themeColor="text1"/>
          <w:kern w:val="0"/>
          <w:szCs w:val="28"/>
          <w14:ligatures w14:val="none"/>
        </w:rPr>
        <w:t xml:space="preserve">, директор по восстановлению в Реестре утраченных произведений искусства, заявил, что этот инцидент должен стать критическим сигналом для всех музеев, которые ещё не сделали этого, </w:t>
      </w:r>
      <w:r>
        <w:rPr>
          <w:rFonts w:cs="Times New Roman"/>
          <w:bCs/>
          <w:color w:val="000000" w:themeColor="text1"/>
          <w:kern w:val="0"/>
          <w:szCs w:val="28"/>
          <w14:ligatures w14:val="none"/>
        </w:rPr>
        <w:t>–</w:t>
      </w:r>
      <w:r w:rsidRPr="002A13EB">
        <w:rPr>
          <w:rFonts w:cs="Times New Roman"/>
          <w:bCs/>
          <w:color w:val="000000" w:themeColor="text1"/>
          <w:kern w:val="0"/>
          <w:szCs w:val="28"/>
          <w14:ligatures w14:val="none"/>
        </w:rPr>
        <w:t xml:space="preserve"> начать разрабатывать планы безопасности, которые учитывают не только рыночную и культурную ценность объектов, но и их ликвидационную стоимость</w:t>
      </w:r>
      <w:r>
        <w:rPr>
          <w:rStyle w:val="af5"/>
          <w:rFonts w:cs="Times New Roman"/>
          <w:bCs/>
          <w:color w:val="000000" w:themeColor="text1"/>
          <w:kern w:val="0"/>
          <w:szCs w:val="28"/>
          <w14:ligatures w14:val="none"/>
        </w:rPr>
        <w:footnoteReference w:id="3"/>
      </w:r>
      <w:r w:rsidRPr="002A13EB">
        <w:rPr>
          <w:rFonts w:cs="Times New Roman"/>
          <w:bCs/>
          <w:color w:val="000000" w:themeColor="text1"/>
          <w:kern w:val="0"/>
          <w:szCs w:val="28"/>
          <w14:ligatures w14:val="none"/>
        </w:rPr>
        <w:t>.</w:t>
      </w:r>
    </w:p>
    <w:p w14:paraId="533AE98C" w14:textId="3477DECE" w:rsidR="002A13EB" w:rsidRPr="002A13EB" w:rsidRDefault="002A13EB" w:rsidP="002A13EB">
      <w:pPr>
        <w:spacing w:after="0" w:line="276" w:lineRule="auto"/>
        <w:ind w:firstLine="633"/>
        <w:jc w:val="both"/>
        <w:rPr>
          <w:rFonts w:cs="Times New Roman"/>
          <w:bCs/>
          <w:color w:val="000000" w:themeColor="text1"/>
          <w:kern w:val="0"/>
          <w:szCs w:val="28"/>
          <w14:ligatures w14:val="none"/>
        </w:rPr>
      </w:pPr>
      <w:proofErr w:type="spellStart"/>
      <w:r w:rsidRPr="002A13EB">
        <w:rPr>
          <w:rFonts w:cs="Times New Roman"/>
          <w:bCs/>
          <w:color w:val="000000" w:themeColor="text1"/>
          <w:kern w:val="0"/>
          <w:szCs w:val="28"/>
          <w14:ligatures w14:val="none"/>
        </w:rPr>
        <w:lastRenderedPageBreak/>
        <w:t>Рэтклифф</w:t>
      </w:r>
      <w:proofErr w:type="spellEnd"/>
      <w:r w:rsidRPr="002A13EB">
        <w:rPr>
          <w:rFonts w:cs="Times New Roman"/>
          <w:bCs/>
          <w:color w:val="000000" w:themeColor="text1"/>
          <w:kern w:val="0"/>
          <w:szCs w:val="28"/>
          <w14:ligatures w14:val="none"/>
        </w:rPr>
        <w:t xml:space="preserve"> настаивает, что музеям необходимо тщательно документировать свои коллекции и немедленно сообщать о кражах, чтобы увеличить шансы на возврат экспонатов до того, как воры уничтожат их. «Эти предметы были украдены, потому что они остаются активами. Даже будучи уничтоженными до неузнаваемости. Для воров они </w:t>
      </w:r>
      <w:r>
        <w:rPr>
          <w:rFonts w:cs="Times New Roman"/>
          <w:bCs/>
          <w:color w:val="000000" w:themeColor="text1"/>
          <w:kern w:val="0"/>
          <w:szCs w:val="28"/>
          <w14:ligatures w14:val="none"/>
        </w:rPr>
        <w:t>–</w:t>
      </w:r>
      <w:r w:rsidRPr="002A13EB">
        <w:rPr>
          <w:rFonts w:cs="Times New Roman"/>
          <w:bCs/>
          <w:color w:val="000000" w:themeColor="text1"/>
          <w:kern w:val="0"/>
          <w:szCs w:val="28"/>
          <w14:ligatures w14:val="none"/>
        </w:rPr>
        <w:t xml:space="preserve"> просто</w:t>
      </w:r>
      <w:r>
        <w:rPr>
          <w:rFonts w:cs="Times New Roman"/>
          <w:bCs/>
          <w:color w:val="000000" w:themeColor="text1"/>
          <w:kern w:val="0"/>
          <w:szCs w:val="28"/>
          <w14:ligatures w14:val="none"/>
        </w:rPr>
        <w:t xml:space="preserve"> </w:t>
      </w:r>
      <w:r w:rsidRPr="002A13EB">
        <w:rPr>
          <w:rFonts w:cs="Times New Roman"/>
          <w:bCs/>
          <w:color w:val="000000" w:themeColor="text1"/>
          <w:kern w:val="0"/>
          <w:szCs w:val="28"/>
          <w14:ligatures w14:val="none"/>
        </w:rPr>
        <w:t xml:space="preserve">товар в форме произведений искусства», </w:t>
      </w:r>
      <w:r>
        <w:rPr>
          <w:rFonts w:cs="Times New Roman"/>
          <w:bCs/>
          <w:color w:val="000000" w:themeColor="text1"/>
          <w:kern w:val="0"/>
          <w:szCs w:val="28"/>
          <w14:ligatures w14:val="none"/>
        </w:rPr>
        <w:t>–</w:t>
      </w:r>
      <w:r w:rsidRPr="002A13EB">
        <w:rPr>
          <w:rFonts w:cs="Times New Roman"/>
          <w:bCs/>
          <w:color w:val="000000" w:themeColor="text1"/>
          <w:kern w:val="0"/>
          <w:szCs w:val="28"/>
          <w14:ligatures w14:val="none"/>
        </w:rPr>
        <w:t xml:space="preserve"> пояснил он.</w:t>
      </w:r>
    </w:p>
    <w:p w14:paraId="2DAAB19C" w14:textId="77777777" w:rsidR="002A13EB" w:rsidRP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t xml:space="preserve">По словам </w:t>
      </w:r>
      <w:proofErr w:type="spellStart"/>
      <w:r w:rsidRPr="002A13EB">
        <w:rPr>
          <w:rFonts w:cs="Times New Roman"/>
          <w:bCs/>
          <w:color w:val="000000" w:themeColor="text1"/>
          <w:kern w:val="0"/>
          <w:szCs w:val="28"/>
          <w14:ligatures w14:val="none"/>
        </w:rPr>
        <w:t>Рэтклиффа</w:t>
      </w:r>
      <w:proofErr w:type="spellEnd"/>
      <w:r w:rsidRPr="002A13EB">
        <w:rPr>
          <w:rFonts w:cs="Times New Roman"/>
          <w:bCs/>
          <w:color w:val="000000" w:themeColor="text1"/>
          <w:kern w:val="0"/>
          <w:szCs w:val="28"/>
          <w14:ligatures w14:val="none"/>
        </w:rPr>
        <w:t xml:space="preserve">, этой громкой краже предшествовали другие «сигналы тревоги», такие как кража золотых артефактов Бронзового века из Национального музея истории </w:t>
      </w:r>
      <w:proofErr w:type="spellStart"/>
      <w:r w:rsidRPr="002A13EB">
        <w:rPr>
          <w:rFonts w:cs="Times New Roman"/>
          <w:bCs/>
          <w:color w:val="000000" w:themeColor="text1"/>
          <w:kern w:val="0"/>
          <w:szCs w:val="28"/>
          <w14:ligatures w14:val="none"/>
        </w:rPr>
        <w:t>Сент-Фаганс</w:t>
      </w:r>
      <w:proofErr w:type="spellEnd"/>
      <w:r w:rsidRPr="002A13EB">
        <w:rPr>
          <w:rFonts w:cs="Times New Roman"/>
          <w:bCs/>
          <w:color w:val="000000" w:themeColor="text1"/>
          <w:kern w:val="0"/>
          <w:szCs w:val="28"/>
          <w14:ligatures w14:val="none"/>
        </w:rPr>
        <w:t xml:space="preserve"> в Уэльсе и бронзовых скульптур из общественных пространств. Эти преступления стали «предшественниками» более поздних краж, нацеленных на драгоценные металлы. </w:t>
      </w:r>
      <w:proofErr w:type="spellStart"/>
      <w:r w:rsidRPr="002A13EB">
        <w:rPr>
          <w:rFonts w:cs="Times New Roman"/>
          <w:bCs/>
          <w:color w:val="000000" w:themeColor="text1"/>
          <w:kern w:val="0"/>
          <w:szCs w:val="28"/>
          <w14:ligatures w14:val="none"/>
        </w:rPr>
        <w:t>Рэтклифф</w:t>
      </w:r>
      <w:proofErr w:type="spellEnd"/>
      <w:r w:rsidRPr="002A13EB">
        <w:rPr>
          <w:rFonts w:cs="Times New Roman"/>
          <w:bCs/>
          <w:color w:val="000000" w:themeColor="text1"/>
          <w:kern w:val="0"/>
          <w:szCs w:val="28"/>
          <w14:ligatures w14:val="none"/>
        </w:rPr>
        <w:t xml:space="preserve"> связывает эту тенденцию с ростом мировых цен на золото, что повысило ликвидационную стоимость артефактов. Он отметил, что воры всё чаще выбирают известные институции, «возможно, из-за восприятия появившейся возможности».</w:t>
      </w:r>
    </w:p>
    <w:p w14:paraId="54081F3A" w14:textId="6665BEE2" w:rsidR="00BC0123" w:rsidRP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t xml:space="preserve">«Рабочая теория должна заключаться в том, что воры уничтожат объекты. Становится очевидным, что необходимо принять больше мер для защиты культурных ценностей, чья ликвидационная стоимость создаёт дополнительный риск кражи», </w:t>
      </w:r>
      <w:r>
        <w:rPr>
          <w:rFonts w:cs="Times New Roman"/>
          <w:bCs/>
          <w:color w:val="000000" w:themeColor="text1"/>
          <w:kern w:val="0"/>
          <w:szCs w:val="28"/>
          <w14:ligatures w14:val="none"/>
        </w:rPr>
        <w:t>–</w:t>
      </w:r>
      <w:r w:rsidRPr="002A13EB">
        <w:rPr>
          <w:rFonts w:cs="Times New Roman"/>
          <w:bCs/>
          <w:color w:val="000000" w:themeColor="text1"/>
          <w:kern w:val="0"/>
          <w:szCs w:val="28"/>
          <w14:ligatures w14:val="none"/>
        </w:rPr>
        <w:t xml:space="preserve"> подвёл итог эксперт.</w:t>
      </w:r>
    </w:p>
    <w:p w14:paraId="67E1C17E" w14:textId="77777777" w:rsidR="00274296" w:rsidRDefault="00274296" w:rsidP="002A13EB">
      <w:pPr>
        <w:spacing w:after="0" w:line="276" w:lineRule="auto"/>
        <w:ind w:firstLine="633"/>
        <w:jc w:val="both"/>
        <w:rPr>
          <w:rFonts w:cs="Times New Roman"/>
          <w:bCs/>
          <w:color w:val="000000" w:themeColor="text1"/>
          <w:kern w:val="0"/>
          <w:szCs w:val="28"/>
          <w14:ligatures w14:val="none"/>
        </w:rPr>
      </w:pPr>
    </w:p>
    <w:p w14:paraId="6CF3A057" w14:textId="1F23D68E" w:rsidR="000D5F0E" w:rsidRPr="00274296" w:rsidRDefault="000D5F0E" w:rsidP="002A13EB">
      <w:pPr>
        <w:spacing w:after="0" w:line="276" w:lineRule="auto"/>
        <w:ind w:firstLine="633"/>
        <w:jc w:val="both"/>
        <w:rPr>
          <w:rFonts w:cs="Times New Roman"/>
          <w:szCs w:val="28"/>
        </w:rPr>
      </w:pPr>
      <w:r w:rsidRPr="00274296">
        <w:rPr>
          <w:rFonts w:cs="Times New Roman"/>
          <w:b/>
          <w:bCs/>
          <w:szCs w:val="28"/>
        </w:rPr>
        <w:t>Источник</w:t>
      </w:r>
      <w:r w:rsidRPr="00274296">
        <w:rPr>
          <w:rFonts w:cs="Times New Roman"/>
          <w:bCs/>
          <w:szCs w:val="28"/>
        </w:rPr>
        <w:t xml:space="preserve">: </w:t>
      </w:r>
      <w:hyperlink r:id="rId13" w:history="1">
        <w:r w:rsidR="00BC0123" w:rsidRPr="0015210C">
          <w:rPr>
            <w:rStyle w:val="ac"/>
          </w:rPr>
          <w:t>https://www.commercialriskonline.com/louvre-heist-comes-as-security-warning-to-other-museums/</w:t>
        </w:r>
      </w:hyperlink>
      <w:r w:rsidR="00BC0123" w:rsidRPr="00BC0123">
        <w:t xml:space="preserve"> 30</w:t>
      </w:r>
      <w:r w:rsidRPr="00274296">
        <w:rPr>
          <w:rFonts w:cs="Times New Roman"/>
          <w:bCs/>
          <w:szCs w:val="28"/>
        </w:rPr>
        <w:t xml:space="preserve">.10.2025 </w:t>
      </w:r>
    </w:p>
    <w:p w14:paraId="28F56915" w14:textId="69CD0AFD" w:rsidR="002E6B38" w:rsidRPr="00274296" w:rsidRDefault="002E6B38" w:rsidP="002A13EB">
      <w:pPr>
        <w:spacing w:after="0" w:line="276" w:lineRule="auto"/>
        <w:ind w:firstLine="633"/>
        <w:jc w:val="both"/>
        <w:rPr>
          <w:rFonts w:cs="Times New Roman"/>
          <w:szCs w:val="28"/>
        </w:rPr>
      </w:pPr>
    </w:p>
    <w:p w14:paraId="6634BB0B" w14:textId="604290A9" w:rsidR="00BD5773" w:rsidRPr="00274296" w:rsidRDefault="0002272D" w:rsidP="002A13EB">
      <w:pPr>
        <w:pStyle w:val="1"/>
        <w:spacing w:before="0" w:after="0" w:line="276" w:lineRule="auto"/>
        <w:ind w:firstLine="633"/>
        <w:rPr>
          <w:rFonts w:ascii="Times New Roman" w:hAnsi="Times New Roman" w:cs="Times New Roman"/>
          <w:b/>
          <w:color w:val="000000" w:themeColor="text1"/>
          <w:kern w:val="0"/>
          <w:sz w:val="28"/>
          <w:szCs w:val="28"/>
          <w14:ligatures w14:val="none"/>
        </w:rPr>
      </w:pPr>
      <w:bookmarkStart w:id="5" w:name="_Toc215437183"/>
      <w:r w:rsidRPr="00274296">
        <w:rPr>
          <w:rFonts w:ascii="Times New Roman" w:hAnsi="Times New Roman" w:cs="Times New Roman"/>
          <w:b/>
          <w:color w:val="000000" w:themeColor="text1"/>
          <w:kern w:val="0"/>
          <w:sz w:val="28"/>
          <w:szCs w:val="28"/>
          <w14:ligatures w14:val="none"/>
        </w:rPr>
        <w:t xml:space="preserve">5. </w:t>
      </w:r>
      <w:r w:rsidR="002A13EB" w:rsidRPr="002A13EB">
        <w:rPr>
          <w:rFonts w:ascii="Times New Roman" w:hAnsi="Times New Roman" w:cs="Times New Roman"/>
          <w:b/>
          <w:color w:val="000000" w:themeColor="text1"/>
          <w:kern w:val="0"/>
          <w:sz w:val="28"/>
          <w:szCs w:val="28"/>
          <w14:ligatures w14:val="none"/>
        </w:rPr>
        <w:t xml:space="preserve">ТНК должны думать глобально, но действовать локально в вопросах </w:t>
      </w:r>
      <w:proofErr w:type="spellStart"/>
      <w:r w:rsidR="002A13EB" w:rsidRPr="002A13EB">
        <w:rPr>
          <w:rFonts w:ascii="Times New Roman" w:hAnsi="Times New Roman" w:cs="Times New Roman"/>
          <w:b/>
          <w:color w:val="000000" w:themeColor="text1"/>
          <w:kern w:val="0"/>
          <w:sz w:val="28"/>
          <w:szCs w:val="28"/>
          <w14:ligatures w14:val="none"/>
        </w:rPr>
        <w:t>киберстрахования</w:t>
      </w:r>
      <w:bookmarkEnd w:id="5"/>
      <w:proofErr w:type="spellEnd"/>
    </w:p>
    <w:p w14:paraId="68F6313E" w14:textId="77777777" w:rsidR="002A13EB" w:rsidRDefault="002A13EB" w:rsidP="002A13EB">
      <w:pPr>
        <w:spacing w:after="0" w:line="276" w:lineRule="auto"/>
        <w:ind w:firstLine="633"/>
        <w:rPr>
          <w:rFonts w:cs="Times New Roman"/>
          <w:szCs w:val="28"/>
        </w:rPr>
      </w:pPr>
    </w:p>
    <w:p w14:paraId="3A0CEF69" w14:textId="77777777" w:rsidR="002A13EB" w:rsidRP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t xml:space="preserve">Ландшафт киберугроз и нормативная среда варьируются от страны к стране. Это означает, что страховщикам следует разрабатывать программы </w:t>
      </w:r>
      <w:proofErr w:type="spellStart"/>
      <w:r w:rsidRPr="002A13EB">
        <w:rPr>
          <w:rFonts w:cs="Times New Roman"/>
          <w:bCs/>
          <w:color w:val="000000" w:themeColor="text1"/>
          <w:kern w:val="0"/>
          <w:szCs w:val="28"/>
          <w14:ligatures w14:val="none"/>
        </w:rPr>
        <w:t>киберстрахования</w:t>
      </w:r>
      <w:proofErr w:type="spellEnd"/>
      <w:r w:rsidRPr="002A13EB">
        <w:rPr>
          <w:rFonts w:cs="Times New Roman"/>
          <w:bCs/>
          <w:color w:val="000000" w:themeColor="text1"/>
          <w:kern w:val="0"/>
          <w:szCs w:val="28"/>
          <w14:ligatures w14:val="none"/>
        </w:rPr>
        <w:t xml:space="preserve"> таким образом, чтобы полис был действенным на международных рынках, но при этом опирался на устоявшуюся практику в стране базирования страховщика. По этой причине </w:t>
      </w:r>
      <w:proofErr w:type="spellStart"/>
      <w:r w:rsidRPr="002A13EB">
        <w:rPr>
          <w:rFonts w:cs="Times New Roman"/>
          <w:bCs/>
          <w:color w:val="000000" w:themeColor="text1"/>
          <w:kern w:val="0"/>
          <w:szCs w:val="28"/>
          <w14:ligatures w14:val="none"/>
        </w:rPr>
        <w:t>киберстрахование</w:t>
      </w:r>
      <w:proofErr w:type="spellEnd"/>
      <w:r w:rsidRPr="002A13EB">
        <w:rPr>
          <w:rFonts w:cs="Times New Roman"/>
          <w:bCs/>
          <w:color w:val="000000" w:themeColor="text1"/>
          <w:kern w:val="0"/>
          <w:szCs w:val="28"/>
          <w14:ligatures w14:val="none"/>
        </w:rPr>
        <w:t xml:space="preserve"> требует особого подхода: покрытие рисков должно быть комплексным, но оставаться эффективным в любой юрисдикции, где ведет деятельность компания-клиент. Для этого необходимо учитывать такие факторы, как требования регуляторов и приемлемый уровень риска в каждой конкретной стране. Такое комплексное решение обеспечит глобальное страховое покрытие, которое будет работать на местном уровне с привлечением местных полисов, локальных знаний и услуг на местах.</w:t>
      </w:r>
    </w:p>
    <w:p w14:paraId="24645C30" w14:textId="77777777" w:rsidR="002A13EB" w:rsidRP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lastRenderedPageBreak/>
        <w:t xml:space="preserve">Ключевым фактором выбора страхового полиса для компании является нормативное соответствие: во многих странах законодательство прямо предписывает наличие местного полиса и ограничивает возможность трансграничных выплат. Как поясняет AXA XL, именно локальные полисы обеспечивают адресное покрытие специфических рисков, таких как уникальное законодательство о защите данных в каждой стране. Наличие местного страховщика значительно повышает эффективность реагирования на инциденты, поскольку гарантирует доступ к местным группам по ликвидации утечек данных, юристам и специалистам по </w:t>
      </w:r>
      <w:proofErr w:type="spellStart"/>
      <w:r w:rsidRPr="002A13EB">
        <w:rPr>
          <w:rFonts w:cs="Times New Roman"/>
          <w:bCs/>
          <w:color w:val="000000" w:themeColor="text1"/>
          <w:kern w:val="0"/>
          <w:szCs w:val="28"/>
          <w14:ligatures w14:val="none"/>
        </w:rPr>
        <w:t>киберкриминалистике</w:t>
      </w:r>
      <w:proofErr w:type="spellEnd"/>
      <w:r w:rsidRPr="002A13EB">
        <w:rPr>
          <w:rFonts w:cs="Times New Roman"/>
          <w:bCs/>
          <w:color w:val="000000" w:themeColor="text1"/>
          <w:kern w:val="0"/>
          <w:szCs w:val="28"/>
          <w14:ligatures w14:val="none"/>
        </w:rPr>
        <w:t>, которые действуют в рамках национальной правовой системы и на языке клиента.</w:t>
      </w:r>
    </w:p>
    <w:p w14:paraId="1FF30B68" w14:textId="77777777" w:rsidR="002A13EB" w:rsidRDefault="002A13EB" w:rsidP="002A13EB">
      <w:pPr>
        <w:spacing w:after="0" w:line="276" w:lineRule="auto"/>
        <w:ind w:firstLine="633"/>
        <w:jc w:val="both"/>
        <w:rPr>
          <w:rFonts w:cs="Times New Roman"/>
          <w:bCs/>
          <w:color w:val="000000" w:themeColor="text1"/>
          <w:kern w:val="0"/>
          <w:szCs w:val="28"/>
          <w14:ligatures w14:val="none"/>
        </w:rPr>
      </w:pPr>
      <w:r w:rsidRPr="002A13EB">
        <w:rPr>
          <w:rFonts w:cs="Times New Roman"/>
          <w:bCs/>
          <w:color w:val="000000" w:themeColor="text1"/>
          <w:kern w:val="0"/>
          <w:szCs w:val="28"/>
          <w14:ligatures w14:val="none"/>
        </w:rPr>
        <w:t xml:space="preserve">Матье Кузен, менеджер по клиентскому сервису в области </w:t>
      </w:r>
      <w:proofErr w:type="spellStart"/>
      <w:r w:rsidRPr="002A13EB">
        <w:rPr>
          <w:rFonts w:cs="Times New Roman"/>
          <w:bCs/>
          <w:color w:val="000000" w:themeColor="text1"/>
          <w:kern w:val="0"/>
          <w:szCs w:val="28"/>
          <w14:ligatures w14:val="none"/>
        </w:rPr>
        <w:t>киберстрахования</w:t>
      </w:r>
      <w:proofErr w:type="spellEnd"/>
      <w:r w:rsidRPr="002A13EB">
        <w:rPr>
          <w:rFonts w:cs="Times New Roman"/>
          <w:bCs/>
          <w:color w:val="000000" w:themeColor="text1"/>
          <w:kern w:val="0"/>
          <w:szCs w:val="28"/>
          <w14:ligatures w14:val="none"/>
        </w:rPr>
        <w:t xml:space="preserve"> в AXA XL, считает, что модель </w:t>
      </w:r>
      <w:proofErr w:type="spellStart"/>
      <w:r w:rsidRPr="002A13EB">
        <w:rPr>
          <w:rFonts w:cs="Times New Roman"/>
          <w:bCs/>
          <w:color w:val="000000" w:themeColor="text1"/>
          <w:kern w:val="0"/>
          <w:szCs w:val="28"/>
          <w14:ligatures w14:val="none"/>
        </w:rPr>
        <w:t>киберстрахования</w:t>
      </w:r>
      <w:proofErr w:type="spellEnd"/>
      <w:r w:rsidRPr="002A13EB">
        <w:rPr>
          <w:rFonts w:cs="Times New Roman"/>
          <w:bCs/>
          <w:color w:val="000000" w:themeColor="text1"/>
          <w:kern w:val="0"/>
          <w:szCs w:val="28"/>
          <w14:ligatures w14:val="none"/>
        </w:rPr>
        <w:t xml:space="preserve"> с универсальным подходом для всех стран неэффективна. Действительно, компании зачастую соглашаются на такое страхование, поскольку оно дешевле и понятнее, чем местное, однако в долгосрочной перспективе это сопряжено с рисками. В мире, который отходит от глобализации, «универсальная» модель страхования может не учитывать региональные различия в доступе к технологиям и изменения в местном законодательстве.</w:t>
      </w:r>
    </w:p>
    <w:p w14:paraId="5F276BDE" w14:textId="700F8F22" w:rsidR="00340C29" w:rsidRPr="00274296" w:rsidRDefault="00340C29" w:rsidP="002A13EB">
      <w:pPr>
        <w:spacing w:after="0" w:line="276" w:lineRule="auto"/>
        <w:ind w:firstLine="633"/>
        <w:jc w:val="both"/>
        <w:rPr>
          <w:rFonts w:cs="Times New Roman"/>
          <w:szCs w:val="28"/>
        </w:rPr>
      </w:pPr>
      <w:r w:rsidRPr="00274296">
        <w:rPr>
          <w:rFonts w:cs="Times New Roman"/>
          <w:b/>
          <w:bCs/>
          <w:szCs w:val="28"/>
        </w:rPr>
        <w:t>Источник</w:t>
      </w:r>
      <w:r w:rsidRPr="00274296">
        <w:rPr>
          <w:rFonts w:cs="Times New Roman"/>
          <w:bCs/>
          <w:szCs w:val="28"/>
        </w:rPr>
        <w:t xml:space="preserve">: </w:t>
      </w:r>
      <w:hyperlink r:id="rId14" w:history="1">
        <w:r w:rsidR="002A13EB" w:rsidRPr="0015210C">
          <w:rPr>
            <w:rStyle w:val="ac"/>
          </w:rPr>
          <w:t>https://www.commercialriskonline.com/multinationals-must-adopt-global-mindset-but-local-action-for-cyber-insurance/</w:t>
        </w:r>
      </w:hyperlink>
      <w:r w:rsidR="002A13EB">
        <w:rPr>
          <w:rFonts w:cs="Times New Roman"/>
          <w:szCs w:val="28"/>
        </w:rPr>
        <w:t xml:space="preserve"> </w:t>
      </w:r>
      <w:r w:rsidR="002A13EB">
        <w:rPr>
          <w:rFonts w:cs="Times New Roman"/>
          <w:bCs/>
          <w:szCs w:val="28"/>
        </w:rPr>
        <w:t>30</w:t>
      </w:r>
      <w:r w:rsidRPr="00274296">
        <w:rPr>
          <w:rFonts w:cs="Times New Roman"/>
          <w:bCs/>
          <w:szCs w:val="28"/>
        </w:rPr>
        <w:t>.1</w:t>
      </w:r>
      <w:r w:rsidR="002A13EB">
        <w:rPr>
          <w:rFonts w:cs="Times New Roman"/>
          <w:bCs/>
          <w:szCs w:val="28"/>
        </w:rPr>
        <w:t>1</w:t>
      </w:r>
      <w:r w:rsidRPr="00274296">
        <w:rPr>
          <w:rFonts w:cs="Times New Roman"/>
          <w:bCs/>
          <w:szCs w:val="28"/>
        </w:rPr>
        <w:t xml:space="preserve">.2025 </w:t>
      </w:r>
    </w:p>
    <w:p w14:paraId="7689C0C2" w14:textId="77777777" w:rsidR="002A13EB" w:rsidRPr="0095053B" w:rsidRDefault="002A13EB" w:rsidP="002A13EB"/>
    <w:sectPr w:rsidR="002A13EB" w:rsidRPr="0095053B" w:rsidSect="006C0B77">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5C6C2" w14:textId="77777777" w:rsidR="00E22D20" w:rsidRDefault="00E22D20" w:rsidP="008046EE">
      <w:pPr>
        <w:spacing w:after="0"/>
      </w:pPr>
      <w:r>
        <w:separator/>
      </w:r>
    </w:p>
  </w:endnote>
  <w:endnote w:type="continuationSeparator" w:id="0">
    <w:p w14:paraId="532A3586" w14:textId="77777777" w:rsidR="00E22D20" w:rsidRDefault="00E22D20" w:rsidP="00804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783336"/>
      <w:docPartObj>
        <w:docPartGallery w:val="Page Numbers (Bottom of Page)"/>
        <w:docPartUnique/>
      </w:docPartObj>
    </w:sdtPr>
    <w:sdtEndPr/>
    <w:sdtContent>
      <w:p w14:paraId="220D737F" w14:textId="289B9547" w:rsidR="00F935B5" w:rsidRDefault="00F935B5">
        <w:pPr>
          <w:pStyle w:val="af0"/>
          <w:jc w:val="right"/>
        </w:pPr>
        <w:r>
          <w:fldChar w:fldCharType="begin"/>
        </w:r>
        <w:r>
          <w:instrText>PAGE   \* MERGEFORMAT</w:instrText>
        </w:r>
        <w:r>
          <w:fldChar w:fldCharType="separate"/>
        </w:r>
        <w:r w:rsidR="0095053B">
          <w:rPr>
            <w:noProof/>
          </w:rPr>
          <w:t>8</w:t>
        </w:r>
        <w:r>
          <w:fldChar w:fldCharType="end"/>
        </w:r>
      </w:p>
    </w:sdtContent>
  </w:sdt>
  <w:p w14:paraId="01BC19A4" w14:textId="77777777" w:rsidR="00F935B5" w:rsidRDefault="00F935B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99947" w14:textId="77777777" w:rsidR="00E22D20" w:rsidRDefault="00E22D20" w:rsidP="008046EE">
      <w:pPr>
        <w:spacing w:after="0"/>
      </w:pPr>
      <w:r>
        <w:separator/>
      </w:r>
    </w:p>
  </w:footnote>
  <w:footnote w:type="continuationSeparator" w:id="0">
    <w:p w14:paraId="4B5FF999" w14:textId="77777777" w:rsidR="00E22D20" w:rsidRDefault="00E22D20" w:rsidP="008046EE">
      <w:pPr>
        <w:spacing w:after="0"/>
      </w:pPr>
      <w:r>
        <w:continuationSeparator/>
      </w:r>
    </w:p>
  </w:footnote>
  <w:footnote w:id="1">
    <w:p w14:paraId="7B057A2A" w14:textId="481A0B2D" w:rsidR="00ED0259" w:rsidRDefault="00ED0259">
      <w:pPr>
        <w:pStyle w:val="af3"/>
      </w:pPr>
      <w:r>
        <w:rPr>
          <w:rStyle w:val="af5"/>
        </w:rPr>
        <w:footnoteRef/>
      </w:r>
      <w:r>
        <w:t xml:space="preserve"> </w:t>
      </w:r>
      <w:proofErr w:type="spellStart"/>
      <w:r w:rsidRPr="00ED0259">
        <w:t>Trough</w:t>
      </w:r>
      <w:proofErr w:type="spellEnd"/>
      <w:r w:rsidRPr="00ED0259">
        <w:t xml:space="preserve"> </w:t>
      </w:r>
      <w:proofErr w:type="spellStart"/>
      <w:r w:rsidRPr="00ED0259">
        <w:t>of</w:t>
      </w:r>
      <w:proofErr w:type="spellEnd"/>
      <w:r w:rsidRPr="00ED0259">
        <w:t xml:space="preserve"> </w:t>
      </w:r>
      <w:proofErr w:type="spellStart"/>
      <w:r w:rsidRPr="00ED0259">
        <w:t>Disillusionment</w:t>
      </w:r>
      <w:proofErr w:type="spellEnd"/>
      <w:r w:rsidRPr="00ED0259">
        <w:t>, одна из фаз «цикла хайпа», предложенного американской исследовательской и консалтинговой компанией Gartner. Согласно  теории, цикл состоит из 4 фаз: технологический триггер, избавление от иллюзий, преодоление недостатков, плато продуктивности</w:t>
      </w:r>
      <w:r>
        <w:t>.</w:t>
      </w:r>
    </w:p>
  </w:footnote>
  <w:footnote w:id="2">
    <w:p w14:paraId="616996CB" w14:textId="38CDFC35" w:rsidR="00ED0259" w:rsidRDefault="00ED0259">
      <w:pPr>
        <w:pStyle w:val="af3"/>
      </w:pPr>
      <w:r>
        <w:rPr>
          <w:rStyle w:val="af5"/>
        </w:rPr>
        <w:footnoteRef/>
      </w:r>
      <w:r>
        <w:t xml:space="preserve"> </w:t>
      </w:r>
      <w:r w:rsidRPr="00ED0259">
        <w:t>Инициатива по научно обоснованным целям (</w:t>
      </w:r>
      <w:proofErr w:type="spellStart"/>
      <w:r w:rsidRPr="00ED0259">
        <w:t>Science</w:t>
      </w:r>
      <w:proofErr w:type="spellEnd"/>
      <w:r w:rsidRPr="00ED0259">
        <w:t xml:space="preserve"> </w:t>
      </w:r>
      <w:proofErr w:type="spellStart"/>
      <w:r w:rsidRPr="00ED0259">
        <w:t>Based</w:t>
      </w:r>
      <w:proofErr w:type="spellEnd"/>
      <w:r w:rsidRPr="00ED0259">
        <w:t xml:space="preserve"> </w:t>
      </w:r>
      <w:proofErr w:type="spellStart"/>
      <w:r w:rsidRPr="00ED0259">
        <w:t>Targets</w:t>
      </w:r>
      <w:proofErr w:type="spellEnd"/>
      <w:r w:rsidRPr="00ED0259">
        <w:t xml:space="preserve"> </w:t>
      </w:r>
      <w:proofErr w:type="spellStart"/>
      <w:r w:rsidRPr="00ED0259">
        <w:t>initiative</w:t>
      </w:r>
      <w:proofErr w:type="spellEnd"/>
      <w:r w:rsidRPr="00ED0259">
        <w:t>), коалиция, которая помогает компаниям и финансовым учреждениям устанавливать научно обоснованные цели по сокращению выбросов парниковых газов</w:t>
      </w:r>
      <w:r>
        <w:t>.</w:t>
      </w:r>
    </w:p>
  </w:footnote>
  <w:footnote w:id="3">
    <w:p w14:paraId="075FBC8D" w14:textId="6CEF03A2" w:rsidR="002A13EB" w:rsidRDefault="002A13EB">
      <w:pPr>
        <w:pStyle w:val="af3"/>
      </w:pPr>
      <w:r>
        <w:rPr>
          <w:rStyle w:val="af5"/>
        </w:rPr>
        <w:footnoteRef/>
      </w:r>
      <w:r>
        <w:t xml:space="preserve"> О</w:t>
      </w:r>
      <w:r w:rsidRPr="002A13EB">
        <w:t>статочная стоимость актива, материала или продукта, который больше не используется для своего первоначального назначения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0C1"/>
    <w:multiLevelType w:val="hybridMultilevel"/>
    <w:tmpl w:val="FDD8E59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nsid w:val="2A845285"/>
    <w:multiLevelType w:val="hybridMultilevel"/>
    <w:tmpl w:val="FDD8E59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267267B"/>
    <w:multiLevelType w:val="hybridMultilevel"/>
    <w:tmpl w:val="C786D5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6AE35F1"/>
    <w:multiLevelType w:val="hybridMultilevel"/>
    <w:tmpl w:val="15BC47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FD"/>
    <w:rsid w:val="0002272D"/>
    <w:rsid w:val="000907B6"/>
    <w:rsid w:val="00090DEF"/>
    <w:rsid w:val="000D5F0E"/>
    <w:rsid w:val="0011035C"/>
    <w:rsid w:val="00132FE8"/>
    <w:rsid w:val="00150D79"/>
    <w:rsid w:val="0015763D"/>
    <w:rsid w:val="001A0AA5"/>
    <w:rsid w:val="001C4776"/>
    <w:rsid w:val="00262691"/>
    <w:rsid w:val="00274296"/>
    <w:rsid w:val="002A13EB"/>
    <w:rsid w:val="002E6B38"/>
    <w:rsid w:val="003234E7"/>
    <w:rsid w:val="00340C29"/>
    <w:rsid w:val="00393C89"/>
    <w:rsid w:val="003E1F1D"/>
    <w:rsid w:val="00444F2C"/>
    <w:rsid w:val="0046475A"/>
    <w:rsid w:val="004A478B"/>
    <w:rsid w:val="004C5EE3"/>
    <w:rsid w:val="005100A7"/>
    <w:rsid w:val="00523303"/>
    <w:rsid w:val="00545EA1"/>
    <w:rsid w:val="00576F46"/>
    <w:rsid w:val="005868CB"/>
    <w:rsid w:val="00624E2C"/>
    <w:rsid w:val="006A07CC"/>
    <w:rsid w:val="006B0CEC"/>
    <w:rsid w:val="006C0B77"/>
    <w:rsid w:val="006F16EA"/>
    <w:rsid w:val="00747473"/>
    <w:rsid w:val="00772596"/>
    <w:rsid w:val="00790FA4"/>
    <w:rsid w:val="007B7032"/>
    <w:rsid w:val="007D7516"/>
    <w:rsid w:val="007E7CDD"/>
    <w:rsid w:val="007F392C"/>
    <w:rsid w:val="008046EE"/>
    <w:rsid w:val="00816BAC"/>
    <w:rsid w:val="008242FF"/>
    <w:rsid w:val="00870751"/>
    <w:rsid w:val="00875CEC"/>
    <w:rsid w:val="0088578D"/>
    <w:rsid w:val="00922C48"/>
    <w:rsid w:val="0095053B"/>
    <w:rsid w:val="009850D6"/>
    <w:rsid w:val="00A62E2F"/>
    <w:rsid w:val="00A67C7F"/>
    <w:rsid w:val="00A71B34"/>
    <w:rsid w:val="00A85ECA"/>
    <w:rsid w:val="00AC02B2"/>
    <w:rsid w:val="00AC47FD"/>
    <w:rsid w:val="00B722D4"/>
    <w:rsid w:val="00B915B7"/>
    <w:rsid w:val="00BA5D7C"/>
    <w:rsid w:val="00BC0123"/>
    <w:rsid w:val="00BD5773"/>
    <w:rsid w:val="00BE04AC"/>
    <w:rsid w:val="00BE7215"/>
    <w:rsid w:val="00C17B45"/>
    <w:rsid w:val="00C85747"/>
    <w:rsid w:val="00CA2B6C"/>
    <w:rsid w:val="00CC7A4F"/>
    <w:rsid w:val="00CE4783"/>
    <w:rsid w:val="00CF4837"/>
    <w:rsid w:val="00D67718"/>
    <w:rsid w:val="00E22D20"/>
    <w:rsid w:val="00E37DC4"/>
    <w:rsid w:val="00EA59DF"/>
    <w:rsid w:val="00EA67A0"/>
    <w:rsid w:val="00ED0259"/>
    <w:rsid w:val="00EE4070"/>
    <w:rsid w:val="00EF073F"/>
    <w:rsid w:val="00F12C76"/>
    <w:rsid w:val="00F160C9"/>
    <w:rsid w:val="00F41C30"/>
    <w:rsid w:val="00F9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47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4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47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47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47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47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47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47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7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47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47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47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47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47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47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47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47FD"/>
    <w:rPr>
      <w:rFonts w:eastAsiaTheme="majorEastAsia" w:cstheme="majorBidi"/>
      <w:color w:val="272727" w:themeColor="text1" w:themeTint="D8"/>
      <w:sz w:val="28"/>
    </w:rPr>
  </w:style>
  <w:style w:type="paragraph" w:styleId="a3">
    <w:name w:val="Title"/>
    <w:basedOn w:val="a"/>
    <w:next w:val="a"/>
    <w:link w:val="a4"/>
    <w:uiPriority w:val="10"/>
    <w:qFormat/>
    <w:rsid w:val="00AC47F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C4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7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47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7FD"/>
    <w:pPr>
      <w:spacing w:before="160"/>
      <w:jc w:val="center"/>
    </w:pPr>
    <w:rPr>
      <w:i/>
      <w:iCs/>
      <w:color w:val="404040" w:themeColor="text1" w:themeTint="BF"/>
    </w:rPr>
  </w:style>
  <w:style w:type="character" w:customStyle="1" w:styleId="22">
    <w:name w:val="Цитата 2 Знак"/>
    <w:basedOn w:val="a0"/>
    <w:link w:val="21"/>
    <w:uiPriority w:val="29"/>
    <w:rsid w:val="00AC47FD"/>
    <w:rPr>
      <w:rFonts w:ascii="Times New Roman" w:hAnsi="Times New Roman"/>
      <w:i/>
      <w:iCs/>
      <w:color w:val="404040" w:themeColor="text1" w:themeTint="BF"/>
      <w:sz w:val="28"/>
    </w:rPr>
  </w:style>
  <w:style w:type="paragraph" w:styleId="a7">
    <w:name w:val="List Paragraph"/>
    <w:basedOn w:val="a"/>
    <w:uiPriority w:val="34"/>
    <w:qFormat/>
    <w:rsid w:val="00AC47FD"/>
    <w:pPr>
      <w:ind w:left="720"/>
      <w:contextualSpacing/>
    </w:pPr>
  </w:style>
  <w:style w:type="character" w:styleId="a8">
    <w:name w:val="Intense Emphasis"/>
    <w:basedOn w:val="a0"/>
    <w:uiPriority w:val="21"/>
    <w:qFormat/>
    <w:rsid w:val="00AC47FD"/>
    <w:rPr>
      <w:i/>
      <w:iCs/>
      <w:color w:val="2E74B5" w:themeColor="accent1" w:themeShade="BF"/>
    </w:rPr>
  </w:style>
  <w:style w:type="paragraph" w:styleId="a9">
    <w:name w:val="Intense Quote"/>
    <w:basedOn w:val="a"/>
    <w:next w:val="a"/>
    <w:link w:val="aa"/>
    <w:uiPriority w:val="30"/>
    <w:qFormat/>
    <w:rsid w:val="00AC4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47FD"/>
    <w:rPr>
      <w:rFonts w:ascii="Times New Roman" w:hAnsi="Times New Roman"/>
      <w:i/>
      <w:iCs/>
      <w:color w:val="2E74B5" w:themeColor="accent1" w:themeShade="BF"/>
      <w:sz w:val="28"/>
    </w:rPr>
  </w:style>
  <w:style w:type="character" w:styleId="ab">
    <w:name w:val="Intense Reference"/>
    <w:basedOn w:val="a0"/>
    <w:uiPriority w:val="32"/>
    <w:qFormat/>
    <w:rsid w:val="00AC47FD"/>
    <w:rPr>
      <w:b/>
      <w:bCs/>
      <w:smallCaps/>
      <w:color w:val="2E74B5" w:themeColor="accent1" w:themeShade="BF"/>
      <w:spacing w:val="5"/>
    </w:rPr>
  </w:style>
  <w:style w:type="character" w:styleId="ac">
    <w:name w:val="Hyperlink"/>
    <w:basedOn w:val="a0"/>
    <w:uiPriority w:val="99"/>
    <w:unhideWhenUsed/>
    <w:rsid w:val="00AC47FD"/>
    <w:rPr>
      <w:color w:val="0563C1" w:themeColor="hyperlink"/>
      <w:u w:val="single"/>
    </w:rPr>
  </w:style>
  <w:style w:type="character" w:customStyle="1" w:styleId="11">
    <w:name w:val="Неразрешенное упоминание1"/>
    <w:basedOn w:val="a0"/>
    <w:uiPriority w:val="99"/>
    <w:semiHidden/>
    <w:unhideWhenUsed/>
    <w:rsid w:val="00AC47FD"/>
    <w:rPr>
      <w:color w:val="605E5C"/>
      <w:shd w:val="clear" w:color="auto" w:fill="E1DFDD"/>
    </w:rPr>
  </w:style>
  <w:style w:type="character" w:styleId="ad">
    <w:name w:val="FollowedHyperlink"/>
    <w:basedOn w:val="a0"/>
    <w:uiPriority w:val="99"/>
    <w:semiHidden/>
    <w:unhideWhenUsed/>
    <w:rsid w:val="00AC47FD"/>
    <w:rPr>
      <w:color w:val="954F72" w:themeColor="followedHyperlink"/>
      <w:u w:val="single"/>
    </w:rPr>
  </w:style>
  <w:style w:type="paragraph" w:styleId="ae">
    <w:name w:val="header"/>
    <w:basedOn w:val="a"/>
    <w:link w:val="af"/>
    <w:uiPriority w:val="99"/>
    <w:unhideWhenUsed/>
    <w:rsid w:val="008046EE"/>
    <w:pPr>
      <w:tabs>
        <w:tab w:val="center" w:pos="4677"/>
        <w:tab w:val="right" w:pos="9355"/>
      </w:tabs>
      <w:spacing w:after="0"/>
    </w:pPr>
  </w:style>
  <w:style w:type="character" w:customStyle="1" w:styleId="af">
    <w:name w:val="Верхний колонтитул Знак"/>
    <w:basedOn w:val="a0"/>
    <w:link w:val="ae"/>
    <w:uiPriority w:val="99"/>
    <w:rsid w:val="008046EE"/>
    <w:rPr>
      <w:rFonts w:ascii="Times New Roman" w:hAnsi="Times New Roman"/>
      <w:sz w:val="28"/>
    </w:rPr>
  </w:style>
  <w:style w:type="paragraph" w:styleId="af0">
    <w:name w:val="footer"/>
    <w:basedOn w:val="a"/>
    <w:link w:val="af1"/>
    <w:uiPriority w:val="99"/>
    <w:unhideWhenUsed/>
    <w:rsid w:val="008046EE"/>
    <w:pPr>
      <w:tabs>
        <w:tab w:val="center" w:pos="4677"/>
        <w:tab w:val="right" w:pos="9355"/>
      </w:tabs>
      <w:spacing w:after="0"/>
    </w:pPr>
  </w:style>
  <w:style w:type="character" w:customStyle="1" w:styleId="af1">
    <w:name w:val="Нижний колонтитул Знак"/>
    <w:basedOn w:val="a0"/>
    <w:link w:val="af0"/>
    <w:uiPriority w:val="99"/>
    <w:rsid w:val="008046EE"/>
    <w:rPr>
      <w:rFonts w:ascii="Times New Roman" w:hAnsi="Times New Roman"/>
      <w:sz w:val="28"/>
    </w:rPr>
  </w:style>
  <w:style w:type="character" w:customStyle="1" w:styleId="UnresolvedMention">
    <w:name w:val="Unresolved Mention"/>
    <w:basedOn w:val="a0"/>
    <w:uiPriority w:val="99"/>
    <w:semiHidden/>
    <w:unhideWhenUsed/>
    <w:rsid w:val="0011035C"/>
    <w:rPr>
      <w:color w:val="605E5C"/>
      <w:shd w:val="clear" w:color="auto" w:fill="E1DFDD"/>
    </w:rPr>
  </w:style>
  <w:style w:type="paragraph" w:styleId="af2">
    <w:name w:val="TOC Heading"/>
    <w:basedOn w:val="1"/>
    <w:next w:val="a"/>
    <w:uiPriority w:val="39"/>
    <w:unhideWhenUsed/>
    <w:qFormat/>
    <w:rsid w:val="00274296"/>
    <w:pPr>
      <w:spacing w:before="240" w:after="0" w:line="259" w:lineRule="auto"/>
      <w:outlineLvl w:val="9"/>
    </w:pPr>
    <w:rPr>
      <w:kern w:val="0"/>
      <w:sz w:val="32"/>
      <w:szCs w:val="32"/>
      <w:lang w:eastAsia="ru-RU"/>
      <w14:ligatures w14:val="none"/>
    </w:rPr>
  </w:style>
  <w:style w:type="paragraph" w:styleId="12">
    <w:name w:val="toc 1"/>
    <w:basedOn w:val="a"/>
    <w:next w:val="a"/>
    <w:autoRedefine/>
    <w:uiPriority w:val="39"/>
    <w:unhideWhenUsed/>
    <w:rsid w:val="00274296"/>
    <w:pPr>
      <w:spacing w:after="100"/>
    </w:pPr>
  </w:style>
  <w:style w:type="paragraph" w:styleId="af3">
    <w:name w:val="footnote text"/>
    <w:basedOn w:val="a"/>
    <w:link w:val="af4"/>
    <w:uiPriority w:val="99"/>
    <w:semiHidden/>
    <w:unhideWhenUsed/>
    <w:rsid w:val="00ED0259"/>
    <w:pPr>
      <w:spacing w:after="0"/>
    </w:pPr>
    <w:rPr>
      <w:sz w:val="20"/>
      <w:szCs w:val="20"/>
    </w:rPr>
  </w:style>
  <w:style w:type="character" w:customStyle="1" w:styleId="af4">
    <w:name w:val="Текст сноски Знак"/>
    <w:basedOn w:val="a0"/>
    <w:link w:val="af3"/>
    <w:uiPriority w:val="99"/>
    <w:semiHidden/>
    <w:rsid w:val="00ED0259"/>
    <w:rPr>
      <w:rFonts w:ascii="Times New Roman" w:hAnsi="Times New Roman"/>
      <w:sz w:val="20"/>
      <w:szCs w:val="20"/>
    </w:rPr>
  </w:style>
  <w:style w:type="character" w:styleId="af5">
    <w:name w:val="footnote reference"/>
    <w:basedOn w:val="a0"/>
    <w:uiPriority w:val="99"/>
    <w:semiHidden/>
    <w:unhideWhenUsed/>
    <w:rsid w:val="00ED0259"/>
    <w:rPr>
      <w:vertAlign w:val="superscript"/>
    </w:rPr>
  </w:style>
  <w:style w:type="paragraph" w:styleId="af6">
    <w:name w:val="Balloon Text"/>
    <w:basedOn w:val="a"/>
    <w:link w:val="af7"/>
    <w:uiPriority w:val="99"/>
    <w:semiHidden/>
    <w:unhideWhenUsed/>
    <w:rsid w:val="0095053B"/>
    <w:pPr>
      <w:spacing w:after="0"/>
    </w:pPr>
    <w:rPr>
      <w:rFonts w:ascii="Tahoma" w:hAnsi="Tahoma" w:cs="Tahoma"/>
      <w:sz w:val="16"/>
      <w:szCs w:val="16"/>
    </w:rPr>
  </w:style>
  <w:style w:type="character" w:customStyle="1" w:styleId="af7">
    <w:name w:val="Текст выноски Знак"/>
    <w:basedOn w:val="a0"/>
    <w:link w:val="af6"/>
    <w:uiPriority w:val="99"/>
    <w:semiHidden/>
    <w:rsid w:val="00950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47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4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47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47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47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47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47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47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7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47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47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47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47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47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47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47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47FD"/>
    <w:rPr>
      <w:rFonts w:eastAsiaTheme="majorEastAsia" w:cstheme="majorBidi"/>
      <w:color w:val="272727" w:themeColor="text1" w:themeTint="D8"/>
      <w:sz w:val="28"/>
    </w:rPr>
  </w:style>
  <w:style w:type="paragraph" w:styleId="a3">
    <w:name w:val="Title"/>
    <w:basedOn w:val="a"/>
    <w:next w:val="a"/>
    <w:link w:val="a4"/>
    <w:uiPriority w:val="10"/>
    <w:qFormat/>
    <w:rsid w:val="00AC47F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C4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7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47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7FD"/>
    <w:pPr>
      <w:spacing w:before="160"/>
      <w:jc w:val="center"/>
    </w:pPr>
    <w:rPr>
      <w:i/>
      <w:iCs/>
      <w:color w:val="404040" w:themeColor="text1" w:themeTint="BF"/>
    </w:rPr>
  </w:style>
  <w:style w:type="character" w:customStyle="1" w:styleId="22">
    <w:name w:val="Цитата 2 Знак"/>
    <w:basedOn w:val="a0"/>
    <w:link w:val="21"/>
    <w:uiPriority w:val="29"/>
    <w:rsid w:val="00AC47FD"/>
    <w:rPr>
      <w:rFonts w:ascii="Times New Roman" w:hAnsi="Times New Roman"/>
      <w:i/>
      <w:iCs/>
      <w:color w:val="404040" w:themeColor="text1" w:themeTint="BF"/>
      <w:sz w:val="28"/>
    </w:rPr>
  </w:style>
  <w:style w:type="paragraph" w:styleId="a7">
    <w:name w:val="List Paragraph"/>
    <w:basedOn w:val="a"/>
    <w:uiPriority w:val="34"/>
    <w:qFormat/>
    <w:rsid w:val="00AC47FD"/>
    <w:pPr>
      <w:ind w:left="720"/>
      <w:contextualSpacing/>
    </w:pPr>
  </w:style>
  <w:style w:type="character" w:styleId="a8">
    <w:name w:val="Intense Emphasis"/>
    <w:basedOn w:val="a0"/>
    <w:uiPriority w:val="21"/>
    <w:qFormat/>
    <w:rsid w:val="00AC47FD"/>
    <w:rPr>
      <w:i/>
      <w:iCs/>
      <w:color w:val="2E74B5" w:themeColor="accent1" w:themeShade="BF"/>
    </w:rPr>
  </w:style>
  <w:style w:type="paragraph" w:styleId="a9">
    <w:name w:val="Intense Quote"/>
    <w:basedOn w:val="a"/>
    <w:next w:val="a"/>
    <w:link w:val="aa"/>
    <w:uiPriority w:val="30"/>
    <w:qFormat/>
    <w:rsid w:val="00AC4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47FD"/>
    <w:rPr>
      <w:rFonts w:ascii="Times New Roman" w:hAnsi="Times New Roman"/>
      <w:i/>
      <w:iCs/>
      <w:color w:val="2E74B5" w:themeColor="accent1" w:themeShade="BF"/>
      <w:sz w:val="28"/>
    </w:rPr>
  </w:style>
  <w:style w:type="character" w:styleId="ab">
    <w:name w:val="Intense Reference"/>
    <w:basedOn w:val="a0"/>
    <w:uiPriority w:val="32"/>
    <w:qFormat/>
    <w:rsid w:val="00AC47FD"/>
    <w:rPr>
      <w:b/>
      <w:bCs/>
      <w:smallCaps/>
      <w:color w:val="2E74B5" w:themeColor="accent1" w:themeShade="BF"/>
      <w:spacing w:val="5"/>
    </w:rPr>
  </w:style>
  <w:style w:type="character" w:styleId="ac">
    <w:name w:val="Hyperlink"/>
    <w:basedOn w:val="a0"/>
    <w:uiPriority w:val="99"/>
    <w:unhideWhenUsed/>
    <w:rsid w:val="00AC47FD"/>
    <w:rPr>
      <w:color w:val="0563C1" w:themeColor="hyperlink"/>
      <w:u w:val="single"/>
    </w:rPr>
  </w:style>
  <w:style w:type="character" w:customStyle="1" w:styleId="11">
    <w:name w:val="Неразрешенное упоминание1"/>
    <w:basedOn w:val="a0"/>
    <w:uiPriority w:val="99"/>
    <w:semiHidden/>
    <w:unhideWhenUsed/>
    <w:rsid w:val="00AC47FD"/>
    <w:rPr>
      <w:color w:val="605E5C"/>
      <w:shd w:val="clear" w:color="auto" w:fill="E1DFDD"/>
    </w:rPr>
  </w:style>
  <w:style w:type="character" w:styleId="ad">
    <w:name w:val="FollowedHyperlink"/>
    <w:basedOn w:val="a0"/>
    <w:uiPriority w:val="99"/>
    <w:semiHidden/>
    <w:unhideWhenUsed/>
    <w:rsid w:val="00AC47FD"/>
    <w:rPr>
      <w:color w:val="954F72" w:themeColor="followedHyperlink"/>
      <w:u w:val="single"/>
    </w:rPr>
  </w:style>
  <w:style w:type="paragraph" w:styleId="ae">
    <w:name w:val="header"/>
    <w:basedOn w:val="a"/>
    <w:link w:val="af"/>
    <w:uiPriority w:val="99"/>
    <w:unhideWhenUsed/>
    <w:rsid w:val="008046EE"/>
    <w:pPr>
      <w:tabs>
        <w:tab w:val="center" w:pos="4677"/>
        <w:tab w:val="right" w:pos="9355"/>
      </w:tabs>
      <w:spacing w:after="0"/>
    </w:pPr>
  </w:style>
  <w:style w:type="character" w:customStyle="1" w:styleId="af">
    <w:name w:val="Верхний колонтитул Знак"/>
    <w:basedOn w:val="a0"/>
    <w:link w:val="ae"/>
    <w:uiPriority w:val="99"/>
    <w:rsid w:val="008046EE"/>
    <w:rPr>
      <w:rFonts w:ascii="Times New Roman" w:hAnsi="Times New Roman"/>
      <w:sz w:val="28"/>
    </w:rPr>
  </w:style>
  <w:style w:type="paragraph" w:styleId="af0">
    <w:name w:val="footer"/>
    <w:basedOn w:val="a"/>
    <w:link w:val="af1"/>
    <w:uiPriority w:val="99"/>
    <w:unhideWhenUsed/>
    <w:rsid w:val="008046EE"/>
    <w:pPr>
      <w:tabs>
        <w:tab w:val="center" w:pos="4677"/>
        <w:tab w:val="right" w:pos="9355"/>
      </w:tabs>
      <w:spacing w:after="0"/>
    </w:pPr>
  </w:style>
  <w:style w:type="character" w:customStyle="1" w:styleId="af1">
    <w:name w:val="Нижний колонтитул Знак"/>
    <w:basedOn w:val="a0"/>
    <w:link w:val="af0"/>
    <w:uiPriority w:val="99"/>
    <w:rsid w:val="008046EE"/>
    <w:rPr>
      <w:rFonts w:ascii="Times New Roman" w:hAnsi="Times New Roman"/>
      <w:sz w:val="28"/>
    </w:rPr>
  </w:style>
  <w:style w:type="character" w:customStyle="1" w:styleId="UnresolvedMention">
    <w:name w:val="Unresolved Mention"/>
    <w:basedOn w:val="a0"/>
    <w:uiPriority w:val="99"/>
    <w:semiHidden/>
    <w:unhideWhenUsed/>
    <w:rsid w:val="0011035C"/>
    <w:rPr>
      <w:color w:val="605E5C"/>
      <w:shd w:val="clear" w:color="auto" w:fill="E1DFDD"/>
    </w:rPr>
  </w:style>
  <w:style w:type="paragraph" w:styleId="af2">
    <w:name w:val="TOC Heading"/>
    <w:basedOn w:val="1"/>
    <w:next w:val="a"/>
    <w:uiPriority w:val="39"/>
    <w:unhideWhenUsed/>
    <w:qFormat/>
    <w:rsid w:val="00274296"/>
    <w:pPr>
      <w:spacing w:before="240" w:after="0" w:line="259" w:lineRule="auto"/>
      <w:outlineLvl w:val="9"/>
    </w:pPr>
    <w:rPr>
      <w:kern w:val="0"/>
      <w:sz w:val="32"/>
      <w:szCs w:val="32"/>
      <w:lang w:eastAsia="ru-RU"/>
      <w14:ligatures w14:val="none"/>
    </w:rPr>
  </w:style>
  <w:style w:type="paragraph" w:styleId="12">
    <w:name w:val="toc 1"/>
    <w:basedOn w:val="a"/>
    <w:next w:val="a"/>
    <w:autoRedefine/>
    <w:uiPriority w:val="39"/>
    <w:unhideWhenUsed/>
    <w:rsid w:val="00274296"/>
    <w:pPr>
      <w:spacing w:after="100"/>
    </w:pPr>
  </w:style>
  <w:style w:type="paragraph" w:styleId="af3">
    <w:name w:val="footnote text"/>
    <w:basedOn w:val="a"/>
    <w:link w:val="af4"/>
    <w:uiPriority w:val="99"/>
    <w:semiHidden/>
    <w:unhideWhenUsed/>
    <w:rsid w:val="00ED0259"/>
    <w:pPr>
      <w:spacing w:after="0"/>
    </w:pPr>
    <w:rPr>
      <w:sz w:val="20"/>
      <w:szCs w:val="20"/>
    </w:rPr>
  </w:style>
  <w:style w:type="character" w:customStyle="1" w:styleId="af4">
    <w:name w:val="Текст сноски Знак"/>
    <w:basedOn w:val="a0"/>
    <w:link w:val="af3"/>
    <w:uiPriority w:val="99"/>
    <w:semiHidden/>
    <w:rsid w:val="00ED0259"/>
    <w:rPr>
      <w:rFonts w:ascii="Times New Roman" w:hAnsi="Times New Roman"/>
      <w:sz w:val="20"/>
      <w:szCs w:val="20"/>
    </w:rPr>
  </w:style>
  <w:style w:type="character" w:styleId="af5">
    <w:name w:val="footnote reference"/>
    <w:basedOn w:val="a0"/>
    <w:uiPriority w:val="99"/>
    <w:semiHidden/>
    <w:unhideWhenUsed/>
    <w:rsid w:val="00ED0259"/>
    <w:rPr>
      <w:vertAlign w:val="superscript"/>
    </w:rPr>
  </w:style>
  <w:style w:type="paragraph" w:styleId="af6">
    <w:name w:val="Balloon Text"/>
    <w:basedOn w:val="a"/>
    <w:link w:val="af7"/>
    <w:uiPriority w:val="99"/>
    <w:semiHidden/>
    <w:unhideWhenUsed/>
    <w:rsid w:val="0095053B"/>
    <w:pPr>
      <w:spacing w:after="0"/>
    </w:pPr>
    <w:rPr>
      <w:rFonts w:ascii="Tahoma" w:hAnsi="Tahoma" w:cs="Tahoma"/>
      <w:sz w:val="16"/>
      <w:szCs w:val="16"/>
    </w:rPr>
  </w:style>
  <w:style w:type="character" w:customStyle="1" w:styleId="af7">
    <w:name w:val="Текст выноски Знак"/>
    <w:basedOn w:val="a0"/>
    <w:link w:val="af6"/>
    <w:uiPriority w:val="99"/>
    <w:semiHidden/>
    <w:rsid w:val="0095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ercialriskonline.com/louvre-heist-comes-as-security-warning-to-other-museum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mercialriskonline.com/rise-in-ai-risk-management-and-cros-finds-riskonne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skonnect.com/content-library/new-generation-risk-report-202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mmercialriskonline.com/morningstar-warns-of-challenging-environment-for-reinsurance-sector/" TargetMode="External"/><Relationship Id="rId4" Type="http://schemas.microsoft.com/office/2007/relationships/stylesWithEffects" Target="stylesWithEffects.xml"/><Relationship Id="rId9" Type="http://schemas.openxmlformats.org/officeDocument/2006/relationships/hyperlink" Target="https://www.commercialriskonline.com/business-leaders-urged-to-learn-risk-reflex/" TargetMode="External"/><Relationship Id="rId14" Type="http://schemas.openxmlformats.org/officeDocument/2006/relationships/hyperlink" Target="https://www.commercialriskonline.com/multinationals-must-adopt-global-mindset-but-local-action-for-cyber-insur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9061-CF9E-49D4-A66B-845BAED0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tjf gfjf</dc:creator>
  <cp:keywords/>
  <dc:description/>
  <cp:lastModifiedBy>Виктор</cp:lastModifiedBy>
  <cp:revision>24</cp:revision>
  <dcterms:created xsi:type="dcterms:W3CDTF">2025-10-29T18:06:00Z</dcterms:created>
  <dcterms:modified xsi:type="dcterms:W3CDTF">2025-12-08T14:20:00Z</dcterms:modified>
</cp:coreProperties>
</file>