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/>
          <w14:ligatures w14:val="standardContextual"/>
        </w:rPr>
        <w:id w:val="59374500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4AC109D" w14:textId="1D3446EC" w:rsidR="00274296" w:rsidRPr="00274296" w:rsidRDefault="00274296" w:rsidP="00D3273B">
          <w:pPr>
            <w:pStyle w:val="af3"/>
            <w:spacing w:before="0" w:line="276" w:lineRule="auto"/>
            <w:ind w:firstLine="851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274296">
            <w:rPr>
              <w:rFonts w:ascii="Times New Roman" w:hAnsi="Times New Roman" w:cs="Times New Roman"/>
              <w:sz w:val="28"/>
              <w:szCs w:val="28"/>
            </w:rPr>
            <w:t>Оглавление</w:t>
          </w:r>
        </w:p>
        <w:p w14:paraId="76A42599" w14:textId="19775D06" w:rsidR="00D97181" w:rsidRDefault="00274296">
          <w:pPr>
            <w:pStyle w:val="12"/>
            <w:tabs>
              <w:tab w:val="left" w:pos="480"/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r w:rsidRPr="00274296">
            <w:rPr>
              <w:rFonts w:cs="Times New Roman"/>
              <w:szCs w:val="28"/>
            </w:rPr>
            <w:fldChar w:fldCharType="begin"/>
          </w:r>
          <w:r w:rsidRPr="00274296">
            <w:rPr>
              <w:rFonts w:cs="Times New Roman"/>
              <w:szCs w:val="28"/>
            </w:rPr>
            <w:instrText xml:space="preserve"> TOC \o "1-3" \h \z \u </w:instrText>
          </w:r>
          <w:r w:rsidRPr="00274296">
            <w:rPr>
              <w:rFonts w:cs="Times New Roman"/>
              <w:szCs w:val="28"/>
            </w:rPr>
            <w:fldChar w:fldCharType="separate"/>
          </w:r>
          <w:hyperlink w:anchor="_Toc218102638" w:history="1">
            <w:r w:rsidR="00D97181" w:rsidRPr="00D20960">
              <w:rPr>
                <w:rStyle w:val="ac"/>
                <w:rFonts w:cs="Times New Roman"/>
                <w:b/>
                <w:noProof/>
                <w:kern w:val="0"/>
                <w14:ligatures w14:val="none"/>
              </w:rPr>
              <w:t>1.</w:t>
            </w:r>
            <w:r w:rsidR="00D97181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D97181" w:rsidRPr="00D20960">
              <w:rPr>
                <w:rStyle w:val="ac"/>
                <w:rFonts w:cs="Times New Roman"/>
                <w:b/>
                <w:noProof/>
                <w:kern w:val="0"/>
                <w14:ligatures w14:val="none"/>
              </w:rPr>
              <w:t>Риск-менеджерам следует играть более активную и центральную роль в вопросах устойчивого развития</w:t>
            </w:r>
            <w:r w:rsidR="00D97181">
              <w:rPr>
                <w:noProof/>
                <w:webHidden/>
              </w:rPr>
              <w:tab/>
            </w:r>
            <w:r w:rsidR="00D97181">
              <w:rPr>
                <w:noProof/>
                <w:webHidden/>
              </w:rPr>
              <w:fldChar w:fldCharType="begin"/>
            </w:r>
            <w:r w:rsidR="00D97181">
              <w:rPr>
                <w:noProof/>
                <w:webHidden/>
              </w:rPr>
              <w:instrText xml:space="preserve"> PAGEREF _Toc218102638 \h </w:instrText>
            </w:r>
            <w:r w:rsidR="00D97181">
              <w:rPr>
                <w:noProof/>
                <w:webHidden/>
              </w:rPr>
            </w:r>
            <w:r w:rsidR="00D97181">
              <w:rPr>
                <w:noProof/>
                <w:webHidden/>
              </w:rPr>
              <w:fldChar w:fldCharType="separate"/>
            </w:r>
            <w:r w:rsidR="00D97181">
              <w:rPr>
                <w:noProof/>
                <w:webHidden/>
              </w:rPr>
              <w:t>2</w:t>
            </w:r>
            <w:r w:rsidR="00D97181">
              <w:rPr>
                <w:noProof/>
                <w:webHidden/>
              </w:rPr>
              <w:fldChar w:fldCharType="end"/>
            </w:r>
          </w:hyperlink>
        </w:p>
        <w:p w14:paraId="12436562" w14:textId="7777FE51" w:rsidR="00D97181" w:rsidRDefault="00D97181">
          <w:pPr>
            <w:pStyle w:val="12"/>
            <w:tabs>
              <w:tab w:val="left" w:pos="480"/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218102639" w:history="1">
            <w:r w:rsidRPr="00D20960">
              <w:rPr>
                <w:rStyle w:val="ac"/>
                <w:rFonts w:cs="Times New Roman"/>
                <w:b/>
                <w:noProof/>
                <w:kern w:val="0"/>
                <w14:ligatures w14:val="none"/>
              </w:rPr>
              <w:t>2.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Pr="00D20960">
              <w:rPr>
                <w:rStyle w:val="ac"/>
                <w:rFonts w:cs="Times New Roman"/>
                <w:b/>
                <w:noProof/>
                <w:kern w:val="0"/>
                <w14:ligatures w14:val="none"/>
              </w:rPr>
              <w:t>Глобальный отчет ОЭСР о корпоративной устойчивости 2025: основные достижения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_Toc218102639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950B63" w14:textId="14A25253" w:rsidR="00D97181" w:rsidRDefault="00D97181">
          <w:pPr>
            <w:pStyle w:val="12"/>
            <w:tabs>
              <w:tab w:val="left" w:pos="480"/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218102640" w:history="1">
            <w:r w:rsidRPr="00D20960">
              <w:rPr>
                <w:rStyle w:val="ac"/>
                <w:rFonts w:cs="Times New Roman"/>
                <w:b/>
                <w:noProof/>
                <w:kern w:val="0"/>
                <w14:ligatures w14:val="none"/>
              </w:rPr>
              <w:t>3.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Pr="00D20960">
              <w:rPr>
                <w:rStyle w:val="ac"/>
                <w:rFonts w:cs="Times New Roman"/>
                <w:b/>
                <w:noProof/>
                <w:kern w:val="0"/>
                <w14:ligatures w14:val="none"/>
              </w:rPr>
              <w:t>Финтех перехватывает инициативу у банков по найму специалистов по рискам и комплаенсу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_Toc218102640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E2A3F0" w14:textId="66F66557" w:rsidR="00D97181" w:rsidRDefault="00D97181">
          <w:pPr>
            <w:pStyle w:val="12"/>
            <w:tabs>
              <w:tab w:val="left" w:pos="480"/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218102641" w:history="1">
            <w:r w:rsidRPr="00D20960">
              <w:rPr>
                <w:rStyle w:val="ac"/>
                <w:rFonts w:cs="Times New Roman"/>
                <w:b/>
                <w:noProof/>
                <w:kern w:val="0"/>
                <w14:ligatures w14:val="none"/>
              </w:rPr>
              <w:t>4.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Pr="00D20960">
              <w:rPr>
                <w:rStyle w:val="ac"/>
                <w:rFonts w:cs="Times New Roman"/>
                <w:b/>
                <w:noProof/>
                <w:kern w:val="0"/>
                <w14:ligatures w14:val="none"/>
              </w:rPr>
              <w:t>Artex: рост числа кэпитивов продолжается, несмотря на смягчение рынка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_Toc218102641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B81942" w14:textId="6720C0DE" w:rsidR="00D97181" w:rsidRDefault="00D97181">
          <w:pPr>
            <w:pStyle w:val="12"/>
            <w:tabs>
              <w:tab w:val="left" w:pos="480"/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218102642" w:history="1">
            <w:r w:rsidRPr="00D20960">
              <w:rPr>
                <w:rStyle w:val="ac"/>
                <w:rFonts w:cs="Times New Roman"/>
                <w:b/>
                <w:noProof/>
                <w:kern w:val="0"/>
                <w14:ligatures w14:val="none"/>
              </w:rPr>
              <w:t>5.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Pr="00D20960">
              <w:rPr>
                <w:rStyle w:val="ac"/>
                <w:rFonts w:cs="Times New Roman"/>
                <w:b/>
                <w:noProof/>
                <w:kern w:val="0"/>
                <w14:ligatures w14:val="none"/>
              </w:rPr>
              <w:t>Аппетит к риску – ключевой фактор при изменении страховой защиты на смягчающемся рынке, заявляют швейцарские покупатели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_Toc218102642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ADE88C" w14:textId="3CADF1D9" w:rsidR="00D97181" w:rsidRDefault="00D97181">
          <w:pPr>
            <w:pStyle w:val="12"/>
            <w:tabs>
              <w:tab w:val="left" w:pos="480"/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218102643" w:history="1">
            <w:r w:rsidRPr="00D20960">
              <w:rPr>
                <w:rStyle w:val="ac"/>
                <w:rFonts w:cs="Times New Roman"/>
                <w:b/>
                <w:noProof/>
                <w:kern w:val="0"/>
                <w14:ligatures w14:val="none"/>
              </w:rPr>
              <w:t>6.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Pr="00D20960">
              <w:rPr>
                <w:rStyle w:val="ac"/>
                <w:rFonts w:cs="Times New Roman"/>
                <w:b/>
                <w:noProof/>
                <w:kern w:val="0"/>
                <w14:ligatures w14:val="none"/>
              </w:rPr>
              <w:t>Рост числа природных катастроф угрожает стабильности финансовых систем – предупреждение IAIS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_Toc218102643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BF082C" w14:textId="1188A007" w:rsidR="00D97181" w:rsidRDefault="00D97181">
          <w:pPr>
            <w:pStyle w:val="12"/>
            <w:tabs>
              <w:tab w:val="left" w:pos="480"/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218102644" w:history="1">
            <w:r w:rsidRPr="00D20960">
              <w:rPr>
                <w:rStyle w:val="ac"/>
                <w:rFonts w:cs="Times New Roman"/>
                <w:b/>
                <w:noProof/>
                <w:kern w:val="0"/>
                <w14:ligatures w14:val="none"/>
              </w:rPr>
              <w:t>7.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Pr="00D20960">
              <w:rPr>
                <w:rStyle w:val="ac"/>
                <w:rFonts w:cs="Times New Roman"/>
                <w:b/>
                <w:noProof/>
                <w:kern w:val="0"/>
                <w14:ligatures w14:val="none"/>
              </w:rPr>
              <w:t>Скрытые риски отслеживания данных: как справляться с проблемами конфиденциальности на фоне роста судебных исков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_Toc218102644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A93423" w14:textId="24340ED8" w:rsidR="00D97181" w:rsidRDefault="00D97181">
          <w:pPr>
            <w:pStyle w:val="12"/>
            <w:tabs>
              <w:tab w:val="left" w:pos="480"/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218102645" w:history="1">
            <w:r w:rsidRPr="00D20960">
              <w:rPr>
                <w:rStyle w:val="ac"/>
                <w:rFonts w:cs="Times New Roman"/>
                <w:b/>
                <w:noProof/>
                <w:kern w:val="0"/>
                <w14:ligatures w14:val="none"/>
              </w:rPr>
              <w:t>8.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Pr="00D20960">
              <w:rPr>
                <w:rStyle w:val="ac"/>
                <w:rFonts w:cs="Times New Roman"/>
                <w:b/>
                <w:noProof/>
                <w:kern w:val="0"/>
                <w14:ligatures w14:val="none"/>
              </w:rPr>
              <w:t xml:space="preserve">Риск-менеджеры должны стать лидерами, а не контролерами </w:t>
            </w:r>
            <w:r>
              <w:rPr>
                <w:rStyle w:val="ac"/>
                <w:rFonts w:cs="Times New Roman"/>
                <w:b/>
                <w:noProof/>
                <w:kern w:val="0"/>
                <w14:ligatures w14:val="none"/>
              </w:rPr>
              <w:t>–</w:t>
            </w:r>
            <w:r w:rsidRPr="00D20960">
              <w:rPr>
                <w:rStyle w:val="ac"/>
                <w:rFonts w:cs="Times New Roman"/>
                <w:b/>
                <w:noProof/>
                <w:kern w:val="0"/>
                <w14:ligatures w14:val="none"/>
              </w:rPr>
              <w:t xml:space="preserve"> призыв Anra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_Toc218102645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41E65F" w14:textId="7AF57D48" w:rsidR="00D97181" w:rsidRDefault="00D97181">
          <w:pPr>
            <w:pStyle w:val="12"/>
            <w:tabs>
              <w:tab w:val="left" w:pos="480"/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218102646" w:history="1">
            <w:r w:rsidRPr="00D20960">
              <w:rPr>
                <w:rStyle w:val="ac"/>
                <w:rFonts w:cs="Times New Roman"/>
                <w:b/>
                <w:noProof/>
                <w:kern w:val="0"/>
                <w14:ligatures w14:val="none"/>
              </w:rPr>
              <w:t>9.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Pr="00D20960">
              <w:rPr>
                <w:rStyle w:val="ac"/>
                <w:rFonts w:cs="Times New Roman"/>
                <w:b/>
                <w:noProof/>
                <w:kern w:val="0"/>
                <w14:ligatures w14:val="none"/>
              </w:rPr>
              <w:t>Эволюция рискового ландшафта D&amp;O и стратегии защиты руководства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_Toc218102646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2FCB8A" w14:textId="04561286" w:rsidR="00D97181" w:rsidRDefault="00D97181">
          <w:pPr>
            <w:pStyle w:val="12"/>
            <w:tabs>
              <w:tab w:val="left" w:pos="720"/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218102647" w:history="1">
            <w:r w:rsidRPr="00D20960">
              <w:rPr>
                <w:rStyle w:val="ac"/>
                <w:rFonts w:cs="Times New Roman"/>
                <w:b/>
                <w:noProof/>
                <w:kern w:val="0"/>
                <w14:ligatures w14:val="none"/>
              </w:rPr>
              <w:t>10.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Pr="00D20960">
              <w:rPr>
                <w:rStyle w:val="ac"/>
                <w:rFonts w:cs="Times New Roman"/>
                <w:b/>
                <w:noProof/>
                <w:kern w:val="0"/>
                <w14:ligatures w14:val="none"/>
              </w:rPr>
              <w:t>Новые риски опережают готовность компаний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_Toc218102647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06106F" w14:textId="3EA03EE1" w:rsidR="00274296" w:rsidRPr="00274296" w:rsidRDefault="00274296" w:rsidP="00D3273B">
          <w:pPr>
            <w:spacing w:after="0" w:line="276" w:lineRule="auto"/>
            <w:ind w:firstLine="851"/>
            <w:jc w:val="both"/>
            <w:rPr>
              <w:rFonts w:cs="Times New Roman"/>
              <w:szCs w:val="28"/>
            </w:rPr>
          </w:pPr>
          <w:r w:rsidRPr="00274296">
            <w:rPr>
              <w:rFonts w:cs="Times New Roman"/>
              <w:b/>
              <w:bCs/>
              <w:szCs w:val="28"/>
            </w:rPr>
            <w:fldChar w:fldCharType="end"/>
          </w:r>
        </w:p>
      </w:sdtContent>
    </w:sdt>
    <w:p w14:paraId="023BBD26" w14:textId="77777777" w:rsidR="00274296" w:rsidRPr="00274296" w:rsidRDefault="00274296" w:rsidP="00D3273B">
      <w:pPr>
        <w:spacing w:after="0" w:line="276" w:lineRule="auto"/>
        <w:ind w:firstLine="851"/>
        <w:jc w:val="both"/>
        <w:rPr>
          <w:rFonts w:eastAsiaTheme="majorEastAsia" w:cs="Times New Roman"/>
          <w:b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/>
          <w:color w:val="000000" w:themeColor="text1"/>
          <w:kern w:val="0"/>
          <w:szCs w:val="28"/>
          <w14:ligatures w14:val="none"/>
        </w:rPr>
        <w:br w:type="page"/>
      </w:r>
    </w:p>
    <w:p w14:paraId="6095A14E" w14:textId="08F8FA55" w:rsidR="007E7CDD" w:rsidRPr="00274296" w:rsidRDefault="007E7CDD" w:rsidP="00D3273B">
      <w:pPr>
        <w:pStyle w:val="1"/>
        <w:spacing w:before="0" w:after="0" w:line="276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  <w:bookmarkStart w:id="0" w:name="_Toc218102638"/>
      <w:r w:rsidRPr="00274296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lastRenderedPageBreak/>
        <w:t>1.</w:t>
      </w:r>
      <w:r w:rsidRPr="00274296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ab/>
      </w:r>
      <w:r w:rsidR="00647287" w:rsidRPr="00647287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Риск-менеджерам следует играть более активную и центральную роль в вопросах устойчивого развития</w:t>
      </w:r>
      <w:bookmarkEnd w:id="0"/>
    </w:p>
    <w:p w14:paraId="2B933AB2" w14:textId="77777777" w:rsidR="007E7CDD" w:rsidRPr="00274296" w:rsidRDefault="007E7CDD" w:rsidP="00D3273B">
      <w:pPr>
        <w:spacing w:after="0" w:line="276" w:lineRule="auto"/>
        <w:ind w:firstLine="851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</w:p>
    <w:p w14:paraId="422E45DB" w14:textId="2CC54285" w:rsidR="00647287" w:rsidRPr="00647287" w:rsidRDefault="00647287" w:rsidP="00D3273B">
      <w:pPr>
        <w:spacing w:after="0" w:line="276" w:lineRule="auto"/>
        <w:ind w:firstLine="851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647287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Недавние директивы ЕС </w:t>
      </w:r>
      <w:r>
        <w:rPr>
          <w:rFonts w:cs="Times New Roman"/>
          <w:bCs/>
          <w:color w:val="000000" w:themeColor="text1"/>
          <w:kern w:val="0"/>
          <w:szCs w:val="28"/>
          <w14:ligatures w14:val="none"/>
        </w:rPr>
        <w:t>–</w:t>
      </w:r>
      <w:r w:rsidRPr="00647287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Корпоративная отчетность в области устойчивого развития (CSRD) и Корпоративная устойчивая должная осмотрительность (CSDDD) </w:t>
      </w:r>
      <w:r>
        <w:rPr>
          <w:rFonts w:cs="Times New Roman"/>
          <w:bCs/>
          <w:color w:val="000000" w:themeColor="text1"/>
          <w:kern w:val="0"/>
          <w:szCs w:val="28"/>
          <w14:ligatures w14:val="none"/>
        </w:rPr>
        <w:t>–</w:t>
      </w:r>
      <w:r w:rsidRPr="00647287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были подвергнуты пересмотру в сторону смягчения требований. Однако такая неопределенность в регулировании создает дополнительные сложности для бизнеса. На Цюрихском семинаре FERMA европейских риск-менеджеров настоятельно призвали занять более активную и центральную роль в управлении рисками устойчивого развития, в частности климатическими рисками.</w:t>
      </w:r>
    </w:p>
    <w:p w14:paraId="5B0735FC" w14:textId="77777777" w:rsidR="00647287" w:rsidRPr="00647287" w:rsidRDefault="00647287" w:rsidP="00D3273B">
      <w:pPr>
        <w:spacing w:after="0" w:line="276" w:lineRule="auto"/>
        <w:ind w:firstLine="851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647287">
        <w:rPr>
          <w:rFonts w:cs="Times New Roman"/>
          <w:bCs/>
          <w:color w:val="000000" w:themeColor="text1"/>
          <w:kern w:val="0"/>
          <w:szCs w:val="28"/>
          <w14:ligatures w14:val="none"/>
        </w:rPr>
        <w:t>В докладе FERMA отмечается, что в Европе сохраняется критический разрыв между доступностью и адекватностью страхового покрытия, необходимого для поддержки перехода к нулевым выбросам. Это создает неопределенность и финансовые барьеры, способные замедлить или сорвать инвестиции в климатические технологии и устойчивые бизнес-модели.</w:t>
      </w:r>
    </w:p>
    <w:p w14:paraId="5967A1AA" w14:textId="77777777" w:rsidR="00647287" w:rsidRPr="00647287" w:rsidRDefault="00647287" w:rsidP="00D3273B">
      <w:pPr>
        <w:spacing w:after="0" w:line="276" w:lineRule="auto"/>
        <w:ind w:firstLine="851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647287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Председатель Комитета по устойчивому развитию FERMA Валентина </w:t>
      </w:r>
      <w:proofErr w:type="spellStart"/>
      <w:r w:rsidRPr="00647287">
        <w:rPr>
          <w:rFonts w:cs="Times New Roman"/>
          <w:bCs/>
          <w:color w:val="000000" w:themeColor="text1"/>
          <w:kern w:val="0"/>
          <w:szCs w:val="28"/>
          <w14:ligatures w14:val="none"/>
        </w:rPr>
        <w:t>Падуано</w:t>
      </w:r>
      <w:proofErr w:type="spellEnd"/>
      <w:r w:rsidRPr="00647287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подчеркнула, что, хотя европейские компании наращивают усилия по переходу к устойчивым моделям, отсутствие возможности передать риски перехода (трансформационные риски) по справедливой цене угрожает этой позитивной динамике.</w:t>
      </w:r>
    </w:p>
    <w:p w14:paraId="7E487079" w14:textId="77777777" w:rsidR="00647287" w:rsidRPr="00647287" w:rsidRDefault="00647287" w:rsidP="00D3273B">
      <w:pPr>
        <w:spacing w:after="0" w:line="276" w:lineRule="auto"/>
        <w:ind w:firstLine="851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647287">
        <w:rPr>
          <w:rFonts w:cs="Times New Roman"/>
          <w:bCs/>
          <w:color w:val="000000" w:themeColor="text1"/>
          <w:kern w:val="0"/>
          <w:szCs w:val="28"/>
          <w14:ligatures w14:val="none"/>
        </w:rPr>
        <w:t>FERMA призвала страховщиков, брокеров и корпоративных клиентов к раннему сотрудничеству в рамках разработки проектов для сбора и открытого обмена данными о рисках перехода. Ассоциация также выступила за формирование страховой отраслью нового, более конструктивного и долгосрочного подхода к этим рискам.</w:t>
      </w:r>
    </w:p>
    <w:p w14:paraId="20810C46" w14:textId="38B6A62D" w:rsidR="00647287" w:rsidRDefault="00647287" w:rsidP="00D3273B">
      <w:pPr>
        <w:spacing w:after="0" w:line="276" w:lineRule="auto"/>
        <w:ind w:firstLine="851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647287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FERMA указала, что кэптивные страховые компании </w:t>
      </w:r>
      <w:r>
        <w:rPr>
          <w:rFonts w:cs="Times New Roman"/>
          <w:bCs/>
          <w:color w:val="000000" w:themeColor="text1"/>
          <w:kern w:val="0"/>
          <w:szCs w:val="28"/>
          <w14:ligatures w14:val="none"/>
        </w:rPr>
        <w:t>–</w:t>
      </w:r>
      <w:r w:rsidRPr="00647287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инструмент, доступный многим риск-менеджерам, </w:t>
      </w:r>
      <w:r>
        <w:rPr>
          <w:rFonts w:cs="Times New Roman"/>
          <w:bCs/>
          <w:color w:val="000000" w:themeColor="text1"/>
          <w:kern w:val="0"/>
          <w:szCs w:val="28"/>
          <w14:ligatures w14:val="none"/>
        </w:rPr>
        <w:t>–</w:t>
      </w:r>
      <w:r w:rsidRPr="00647287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следует активнее использовать для поддержки ESG-трансформации бизнеса. Недавний отчет FERMA «Инструментарий для </w:t>
      </w:r>
      <w:proofErr w:type="spellStart"/>
      <w:r w:rsidRPr="00647287">
        <w:rPr>
          <w:rFonts w:cs="Times New Roman"/>
          <w:bCs/>
          <w:color w:val="000000" w:themeColor="text1"/>
          <w:kern w:val="0"/>
          <w:szCs w:val="28"/>
          <w14:ligatures w14:val="none"/>
        </w:rPr>
        <w:t>кэптивов</w:t>
      </w:r>
      <w:proofErr w:type="spellEnd"/>
      <w:r w:rsidRPr="00647287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» содержит практические рекомендации о том, как с помощью </w:t>
      </w:r>
      <w:proofErr w:type="spellStart"/>
      <w:r w:rsidRPr="00647287">
        <w:rPr>
          <w:rFonts w:cs="Times New Roman"/>
          <w:bCs/>
          <w:color w:val="000000" w:themeColor="text1"/>
          <w:kern w:val="0"/>
          <w:szCs w:val="28"/>
          <w14:ligatures w14:val="none"/>
        </w:rPr>
        <w:t>кэптивов</w:t>
      </w:r>
      <w:proofErr w:type="spellEnd"/>
      <w:r w:rsidRPr="00647287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можно интегрировать ESG-обязательства в повседневную страховую и риск-менеджерскую деятельность. Председатель Комитета по </w:t>
      </w:r>
      <w:proofErr w:type="spellStart"/>
      <w:r w:rsidRPr="00647287">
        <w:rPr>
          <w:rFonts w:cs="Times New Roman"/>
          <w:bCs/>
          <w:color w:val="000000" w:themeColor="text1"/>
          <w:kern w:val="0"/>
          <w:szCs w:val="28"/>
          <w14:ligatures w14:val="none"/>
        </w:rPr>
        <w:t>кэптивам</w:t>
      </w:r>
      <w:proofErr w:type="spellEnd"/>
      <w:r w:rsidRPr="00647287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Лоран </w:t>
      </w:r>
      <w:proofErr w:type="spellStart"/>
      <w:r w:rsidRPr="00647287">
        <w:rPr>
          <w:rFonts w:cs="Times New Roman"/>
          <w:bCs/>
          <w:color w:val="000000" w:themeColor="text1"/>
          <w:kern w:val="0"/>
          <w:szCs w:val="28"/>
          <w14:ligatures w14:val="none"/>
        </w:rPr>
        <w:t>Нихул</w:t>
      </w:r>
      <w:proofErr w:type="spellEnd"/>
      <w:r w:rsidRPr="00647287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пояснил, что </w:t>
      </w:r>
      <w:proofErr w:type="spellStart"/>
      <w:r w:rsidRPr="00647287">
        <w:rPr>
          <w:rFonts w:cs="Times New Roman"/>
          <w:bCs/>
          <w:color w:val="000000" w:themeColor="text1"/>
          <w:kern w:val="0"/>
          <w:szCs w:val="28"/>
          <w14:ligatures w14:val="none"/>
        </w:rPr>
        <w:t>кэптивы</w:t>
      </w:r>
      <w:proofErr w:type="spellEnd"/>
      <w:r w:rsidRPr="00647287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</w:t>
      </w:r>
      <w:r>
        <w:rPr>
          <w:rFonts w:cs="Times New Roman"/>
          <w:bCs/>
          <w:color w:val="000000" w:themeColor="text1"/>
          <w:kern w:val="0"/>
          <w:szCs w:val="28"/>
          <w14:ligatures w14:val="none"/>
        </w:rPr>
        <w:t>–</w:t>
      </w:r>
      <w:r w:rsidRPr="00647287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гибкий инструмент, способствующий диалогу со страховщиками и позволяющий их владельцам разрабатывать собственные инновационные решения. Если переосмыслить рутинные операции страхования, перестрахования и риск-менеджмента как возможности для влияния на ESG-инициативы, то </w:t>
      </w:r>
      <w:r w:rsidRPr="00647287">
        <w:rPr>
          <w:rFonts w:cs="Times New Roman"/>
          <w:bCs/>
          <w:color w:val="000000" w:themeColor="text1"/>
          <w:kern w:val="0"/>
          <w:szCs w:val="28"/>
          <w14:ligatures w14:val="none"/>
        </w:rPr>
        <w:lastRenderedPageBreak/>
        <w:t xml:space="preserve">финансирование рисков через </w:t>
      </w:r>
      <w:proofErr w:type="spellStart"/>
      <w:r w:rsidRPr="00647287">
        <w:rPr>
          <w:rFonts w:cs="Times New Roman"/>
          <w:bCs/>
          <w:color w:val="000000" w:themeColor="text1"/>
          <w:kern w:val="0"/>
          <w:szCs w:val="28"/>
          <w14:ligatures w14:val="none"/>
        </w:rPr>
        <w:t>кэптивы</w:t>
      </w:r>
      <w:proofErr w:type="spellEnd"/>
      <w:r w:rsidRPr="00647287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может стать мощным драйвером устойчивого развития.</w:t>
      </w:r>
    </w:p>
    <w:p w14:paraId="5E9E0CEE" w14:textId="3CEC8CE9" w:rsidR="007E7CDD" w:rsidRDefault="007E7CDD" w:rsidP="00D3273B">
      <w:pPr>
        <w:spacing w:after="0" w:line="276" w:lineRule="auto"/>
        <w:ind w:firstLine="851"/>
        <w:jc w:val="both"/>
        <w:rPr>
          <w:rFonts w:cs="Times New Roman"/>
          <w:bCs/>
          <w:szCs w:val="28"/>
        </w:rPr>
      </w:pPr>
      <w:r w:rsidRPr="00274296">
        <w:rPr>
          <w:rFonts w:cs="Times New Roman"/>
          <w:b/>
          <w:bCs/>
          <w:szCs w:val="28"/>
        </w:rPr>
        <w:t>Источник</w:t>
      </w:r>
      <w:r w:rsidRPr="00274296">
        <w:rPr>
          <w:rFonts w:cs="Times New Roman"/>
          <w:bCs/>
          <w:szCs w:val="28"/>
        </w:rPr>
        <w:t xml:space="preserve">: </w:t>
      </w:r>
      <w:r w:rsidR="00647287" w:rsidRPr="00647287">
        <w:t xml:space="preserve">https://www.commercialriskonline.com/more-proactive-and-central-role-for-risk-managers-in-sustainability/ </w:t>
      </w:r>
      <w:r w:rsidR="00647287">
        <w:t>30</w:t>
      </w:r>
      <w:r w:rsidR="00647287" w:rsidRPr="00647287">
        <w:t>.1</w:t>
      </w:r>
      <w:r w:rsidR="00647287">
        <w:t>2</w:t>
      </w:r>
      <w:r w:rsidR="00647287" w:rsidRPr="00647287">
        <w:t>.2025</w:t>
      </w:r>
    </w:p>
    <w:p w14:paraId="6A2B5B5F" w14:textId="77777777" w:rsidR="00ED0259" w:rsidRDefault="00ED0259" w:rsidP="00D3273B">
      <w:pPr>
        <w:spacing w:after="0" w:line="276" w:lineRule="auto"/>
        <w:ind w:firstLine="851"/>
        <w:jc w:val="both"/>
        <w:rPr>
          <w:rFonts w:cs="Times New Roman"/>
          <w:bCs/>
          <w:szCs w:val="28"/>
        </w:rPr>
      </w:pPr>
    </w:p>
    <w:p w14:paraId="3F20B6AD" w14:textId="27514528" w:rsidR="00647287" w:rsidRPr="00274296" w:rsidRDefault="00647287" w:rsidP="00D3273B">
      <w:pPr>
        <w:pStyle w:val="1"/>
        <w:spacing w:before="0" w:after="0" w:line="276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  <w:bookmarkStart w:id="1" w:name="_Toc218102639"/>
      <w:r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2</w:t>
      </w:r>
      <w:r w:rsidRPr="00274296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.</w:t>
      </w:r>
      <w:r w:rsidRPr="00274296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ab/>
      </w:r>
      <w:r w:rsidRPr="00647287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Глобальный отчет ОЭСР о корпоративной устойчивости 2025</w:t>
      </w:r>
      <w:r>
        <w:rPr>
          <w:rStyle w:val="af6"/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footnoteReference w:id="1"/>
      </w:r>
      <w:r w:rsidRPr="00647287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: основные достижения</w:t>
      </w:r>
      <w:bookmarkEnd w:id="1"/>
    </w:p>
    <w:p w14:paraId="721B477F" w14:textId="77777777" w:rsidR="00647287" w:rsidRPr="00647287" w:rsidRDefault="00647287" w:rsidP="00D3273B">
      <w:pPr>
        <w:spacing w:after="0" w:line="276" w:lineRule="auto"/>
        <w:ind w:firstLine="851"/>
        <w:jc w:val="both"/>
        <w:rPr>
          <w:rFonts w:cs="Times New Roman"/>
          <w:bCs/>
          <w:szCs w:val="28"/>
        </w:rPr>
      </w:pPr>
      <w:r w:rsidRPr="00647287">
        <w:rPr>
          <w:rFonts w:cs="Times New Roman"/>
          <w:bCs/>
          <w:szCs w:val="28"/>
        </w:rPr>
        <w:t>В новом глобальном отчете ОЭСР о корпоративной устойчивости отмечается, что в 2024 году 91% всех публичных компаний (по рыночной капитализации) раскрыли информацию, связанную с устойчивым развитием, тогда как в 2022 году этот показатель составлял 86%. Наивысшие показатели были зафиксированы в Европе (98%), в развитых странах Азиатско-Тихоокеанского региона (94%) и США (93%). В отчете также подчеркивается, что абсолютное количество раскрывающих такую информацию компаний выросло, хотя они по-прежнему составляют лишь менее трети от общего числа публичных компаний в мире.</w:t>
      </w:r>
    </w:p>
    <w:p w14:paraId="681C2F42" w14:textId="2D7517A3" w:rsidR="00647287" w:rsidRPr="00647287" w:rsidRDefault="00647287" w:rsidP="00D3273B">
      <w:pPr>
        <w:spacing w:after="0" w:line="276" w:lineRule="auto"/>
        <w:ind w:firstLine="851"/>
        <w:jc w:val="both"/>
        <w:rPr>
          <w:rFonts w:cs="Times New Roman"/>
          <w:bCs/>
          <w:szCs w:val="28"/>
        </w:rPr>
      </w:pPr>
      <w:r w:rsidRPr="00647287">
        <w:rPr>
          <w:rFonts w:cs="Times New Roman"/>
          <w:bCs/>
          <w:szCs w:val="28"/>
        </w:rPr>
        <w:t>В 2024 году более 5000 компаний (81% по рыночной капитализации) провели независи</w:t>
      </w:r>
      <w:r>
        <w:rPr>
          <w:rFonts w:cs="Times New Roman"/>
          <w:bCs/>
          <w:szCs w:val="28"/>
        </w:rPr>
        <w:t>м</w:t>
      </w:r>
      <w:r w:rsidRPr="00647287">
        <w:rPr>
          <w:rFonts w:cs="Times New Roman"/>
          <w:bCs/>
          <w:szCs w:val="28"/>
        </w:rPr>
        <w:t>ую проверку своей отчетности в области устойчивого развития. Более чем в половине случаев в мире эту проверку выполняли аудиторы.</w:t>
      </w:r>
    </w:p>
    <w:p w14:paraId="72983957" w14:textId="77777777" w:rsidR="00647287" w:rsidRPr="00647287" w:rsidRDefault="00647287" w:rsidP="00D3273B">
      <w:pPr>
        <w:spacing w:after="0" w:line="276" w:lineRule="auto"/>
        <w:ind w:firstLine="851"/>
        <w:jc w:val="both"/>
        <w:rPr>
          <w:rFonts w:cs="Times New Roman"/>
          <w:bCs/>
          <w:szCs w:val="28"/>
        </w:rPr>
      </w:pPr>
      <w:r w:rsidRPr="00647287">
        <w:rPr>
          <w:rFonts w:cs="Times New Roman"/>
          <w:bCs/>
          <w:szCs w:val="28"/>
        </w:rPr>
        <w:t>Отчет ОЭСР указывает на усиление надзора за вопросами устойчивого развития со стороны советов директоров. Контроль над климатическими вопросами осуществляли советы директоров в 70% компаний (по рыночной капитализации) в 2024 году, в то время как в 2022 году этот показатель был на уровне 53%. Кроме того, две трети компаний имеют специальный комитет по управлению рисками устойчивого развития.</w:t>
      </w:r>
    </w:p>
    <w:p w14:paraId="349C30D8" w14:textId="77777777" w:rsidR="00647287" w:rsidRPr="00647287" w:rsidRDefault="00647287" w:rsidP="00D3273B">
      <w:pPr>
        <w:spacing w:after="0" w:line="276" w:lineRule="auto"/>
        <w:ind w:firstLine="851"/>
        <w:jc w:val="both"/>
        <w:rPr>
          <w:rFonts w:cs="Times New Roman"/>
          <w:bCs/>
          <w:szCs w:val="28"/>
        </w:rPr>
      </w:pPr>
      <w:r w:rsidRPr="00647287">
        <w:rPr>
          <w:rFonts w:cs="Times New Roman"/>
          <w:bCs/>
          <w:szCs w:val="28"/>
        </w:rPr>
        <w:t>Показатели устойчивого развития все чаще влияют на переменное вознаграждение топ-менеджеров. Доля компаний, где такая часть вознаграждения зависит от этих факторов, увеличилась с 60% до 67%.</w:t>
      </w:r>
    </w:p>
    <w:p w14:paraId="2034AF08" w14:textId="77777777" w:rsidR="00647287" w:rsidRDefault="00647287" w:rsidP="00D3273B">
      <w:pPr>
        <w:spacing w:after="0" w:line="276" w:lineRule="auto"/>
        <w:ind w:firstLine="851"/>
        <w:jc w:val="both"/>
        <w:rPr>
          <w:rFonts w:cs="Times New Roman"/>
          <w:bCs/>
          <w:szCs w:val="28"/>
        </w:rPr>
      </w:pPr>
      <w:r w:rsidRPr="00647287">
        <w:rPr>
          <w:rFonts w:cs="Times New Roman"/>
          <w:bCs/>
          <w:szCs w:val="28"/>
        </w:rPr>
        <w:t>В отчете выделяются 4 направления для улучшений:</w:t>
      </w:r>
    </w:p>
    <w:p w14:paraId="16B0ECF1" w14:textId="65985654" w:rsidR="00647287" w:rsidRPr="00647287" w:rsidRDefault="00647287" w:rsidP="00D3273B">
      <w:pPr>
        <w:pStyle w:val="a7"/>
        <w:numPr>
          <w:ilvl w:val="0"/>
          <w:numId w:val="7"/>
        </w:numPr>
        <w:tabs>
          <w:tab w:val="left" w:pos="709"/>
        </w:tabs>
        <w:spacing w:after="0" w:line="276" w:lineRule="auto"/>
        <w:ind w:left="709" w:firstLine="851"/>
        <w:jc w:val="both"/>
        <w:rPr>
          <w:rFonts w:cs="Times New Roman"/>
          <w:bCs/>
          <w:szCs w:val="28"/>
        </w:rPr>
      </w:pPr>
      <w:r w:rsidRPr="00647287">
        <w:rPr>
          <w:rFonts w:cs="Times New Roman"/>
          <w:bCs/>
          <w:szCs w:val="28"/>
        </w:rPr>
        <w:t>Разработчики стандартов могут активизировать усилия по обеспечению совместимости (интероперабельности) различных систем раскрытия информации. Это поможет снизить издержки на соблюдение требований (комплаенс) для компаний, работающих в разных юрисдикциях, а также повысить сопоставимость, надежность и релевантность раскрываемой информации.</w:t>
      </w:r>
    </w:p>
    <w:p w14:paraId="421F873C" w14:textId="16BE8D58" w:rsidR="00647287" w:rsidRPr="00647287" w:rsidRDefault="00647287" w:rsidP="00D3273B">
      <w:pPr>
        <w:pStyle w:val="a7"/>
        <w:numPr>
          <w:ilvl w:val="0"/>
          <w:numId w:val="7"/>
        </w:numPr>
        <w:tabs>
          <w:tab w:val="left" w:pos="709"/>
        </w:tabs>
        <w:spacing w:after="0" w:line="276" w:lineRule="auto"/>
        <w:ind w:left="709" w:firstLine="851"/>
        <w:jc w:val="both"/>
        <w:rPr>
          <w:rFonts w:cs="Times New Roman"/>
          <w:bCs/>
          <w:szCs w:val="28"/>
        </w:rPr>
      </w:pPr>
      <w:r w:rsidRPr="00647287">
        <w:rPr>
          <w:rFonts w:cs="Times New Roman"/>
          <w:bCs/>
          <w:szCs w:val="28"/>
        </w:rPr>
        <w:lastRenderedPageBreak/>
        <w:t>Государства могут побуждать находящиеся в их собственности компании служить примером в области устойчивого развития и способствовать переходу к низкоуглеродной экономике. Как отмечается в отчете, государственные предприятия часто работают в стратегических отраслях (таких как энергетика), более подверженных социальным и экологическим рискам, что ставит их в уникальное положение для продвижения принципов устойчивого развития.</w:t>
      </w:r>
    </w:p>
    <w:p w14:paraId="1B30AFF7" w14:textId="6DF6EBB4" w:rsidR="00647287" w:rsidRPr="00647287" w:rsidRDefault="00647287" w:rsidP="00D3273B">
      <w:pPr>
        <w:pStyle w:val="a7"/>
        <w:numPr>
          <w:ilvl w:val="0"/>
          <w:numId w:val="7"/>
        </w:numPr>
        <w:tabs>
          <w:tab w:val="left" w:pos="709"/>
        </w:tabs>
        <w:spacing w:after="0" w:line="276" w:lineRule="auto"/>
        <w:ind w:left="709" w:firstLine="851"/>
        <w:jc w:val="both"/>
        <w:rPr>
          <w:rFonts w:cs="Times New Roman"/>
          <w:bCs/>
          <w:szCs w:val="28"/>
        </w:rPr>
      </w:pPr>
      <w:r w:rsidRPr="00647287">
        <w:rPr>
          <w:rFonts w:cs="Times New Roman"/>
          <w:bCs/>
          <w:szCs w:val="28"/>
        </w:rPr>
        <w:t xml:space="preserve">Поскольку портфельные распределения институциональных инвесторов пока не делают различий между компаниями с высокими выбросами и фирмами, инвестирующими в новые зеленые технологии, инициативы по взаимодействию с акционерами первых могут быть дополнены мерами, которые также учитывают инвестиционное распределение и практики ответственного владения акциями в отношении </w:t>
      </w:r>
      <w:proofErr w:type="spellStart"/>
      <w:r w:rsidRPr="00647287">
        <w:rPr>
          <w:rFonts w:cs="Times New Roman"/>
          <w:bCs/>
          <w:szCs w:val="28"/>
        </w:rPr>
        <w:t>высокоинновационных</w:t>
      </w:r>
      <w:proofErr w:type="spellEnd"/>
      <w:r w:rsidRPr="00647287">
        <w:rPr>
          <w:rFonts w:cs="Times New Roman"/>
          <w:bCs/>
          <w:szCs w:val="28"/>
        </w:rPr>
        <w:t xml:space="preserve"> компаний.</w:t>
      </w:r>
    </w:p>
    <w:p w14:paraId="69FB077A" w14:textId="7FF6FF2D" w:rsidR="00647287" w:rsidRDefault="00647287" w:rsidP="00D3273B">
      <w:pPr>
        <w:pStyle w:val="a7"/>
        <w:numPr>
          <w:ilvl w:val="0"/>
          <w:numId w:val="7"/>
        </w:numPr>
        <w:tabs>
          <w:tab w:val="left" w:pos="709"/>
        </w:tabs>
        <w:spacing w:after="0" w:line="276" w:lineRule="auto"/>
        <w:ind w:left="709" w:firstLine="851"/>
        <w:jc w:val="both"/>
        <w:rPr>
          <w:rFonts w:cs="Times New Roman"/>
          <w:bCs/>
          <w:szCs w:val="28"/>
        </w:rPr>
      </w:pPr>
      <w:r w:rsidRPr="00647287">
        <w:rPr>
          <w:rFonts w:cs="Times New Roman"/>
          <w:bCs/>
          <w:szCs w:val="28"/>
        </w:rPr>
        <w:t>Также могут быть реализованы меры по обеспечению стабильного потока финансово состоятельных энергетических проектов, что побудило бы компании направлять большую долю капитала на новые инвестиции.</w:t>
      </w:r>
    </w:p>
    <w:p w14:paraId="61A937A4" w14:textId="0E1DABFA" w:rsidR="00647287" w:rsidRPr="00647287" w:rsidRDefault="00647287" w:rsidP="00D3273B">
      <w:pPr>
        <w:spacing w:after="0" w:line="276" w:lineRule="auto"/>
        <w:ind w:firstLine="851"/>
        <w:jc w:val="both"/>
        <w:rPr>
          <w:rFonts w:cs="Times New Roman"/>
          <w:bCs/>
          <w:szCs w:val="28"/>
        </w:rPr>
      </w:pPr>
      <w:r w:rsidRPr="00647287">
        <w:rPr>
          <w:rFonts w:cs="Times New Roman"/>
          <w:b/>
          <w:bCs/>
          <w:szCs w:val="28"/>
        </w:rPr>
        <w:t>Источник</w:t>
      </w:r>
      <w:r w:rsidRPr="00647287">
        <w:rPr>
          <w:rFonts w:cs="Times New Roman"/>
          <w:bCs/>
          <w:szCs w:val="28"/>
        </w:rPr>
        <w:t xml:space="preserve">: </w:t>
      </w:r>
      <w:r w:rsidRPr="00647287">
        <w:t xml:space="preserve">https://www.commercialriskonline.com/oecds-2025-global-corporate-sustainability-report-highlights-progress/ </w:t>
      </w:r>
      <w:r>
        <w:t>30</w:t>
      </w:r>
      <w:r w:rsidRPr="00647287">
        <w:t>.1</w:t>
      </w:r>
      <w:r>
        <w:t>2</w:t>
      </w:r>
      <w:r w:rsidRPr="00647287">
        <w:t>.2025</w:t>
      </w:r>
    </w:p>
    <w:p w14:paraId="33C87D53" w14:textId="77777777" w:rsidR="00647287" w:rsidRPr="00647287" w:rsidRDefault="00647287" w:rsidP="00D3273B">
      <w:pPr>
        <w:spacing w:after="0" w:line="276" w:lineRule="auto"/>
        <w:ind w:firstLine="851"/>
        <w:jc w:val="both"/>
        <w:rPr>
          <w:rFonts w:cs="Times New Roman"/>
          <w:bCs/>
          <w:szCs w:val="28"/>
        </w:rPr>
      </w:pPr>
    </w:p>
    <w:p w14:paraId="2D7C9E76" w14:textId="6FF024FD" w:rsidR="00647287" w:rsidRPr="00274296" w:rsidRDefault="00647287" w:rsidP="00D3273B">
      <w:pPr>
        <w:pStyle w:val="1"/>
        <w:spacing w:before="0" w:after="0" w:line="276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  <w:bookmarkStart w:id="2" w:name="_Toc218102640"/>
      <w:r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3</w:t>
      </w:r>
      <w:r w:rsidRPr="00274296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.</w:t>
      </w:r>
      <w:r w:rsidRPr="00274296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ab/>
      </w:r>
      <w:r w:rsidR="00486DFB" w:rsidRPr="00486DFB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Финтех перехватывает инициативу у банков по найму специалистов по рискам и комплаенсу</w:t>
      </w:r>
      <w:bookmarkEnd w:id="2"/>
    </w:p>
    <w:p w14:paraId="5D1924FD" w14:textId="77777777" w:rsidR="00486DFB" w:rsidRPr="00486DFB" w:rsidRDefault="00486DFB" w:rsidP="00D3273B">
      <w:pPr>
        <w:tabs>
          <w:tab w:val="left" w:pos="709"/>
        </w:tabs>
        <w:spacing w:after="0" w:line="276" w:lineRule="auto"/>
        <w:ind w:firstLine="851"/>
        <w:jc w:val="both"/>
        <w:rPr>
          <w:rFonts w:cs="Times New Roman"/>
          <w:bCs/>
          <w:szCs w:val="28"/>
        </w:rPr>
      </w:pPr>
      <w:r w:rsidRPr="00486DFB">
        <w:rPr>
          <w:rFonts w:cs="Times New Roman"/>
          <w:bCs/>
          <w:szCs w:val="28"/>
        </w:rPr>
        <w:t xml:space="preserve">В статье анализируются изменения на рынке труда в сфере риск-менеджмента и комплаенса в финансовом секторе Великобритании. По данным отчёта Morgan </w:t>
      </w:r>
      <w:proofErr w:type="spellStart"/>
      <w:r w:rsidRPr="00486DFB">
        <w:rPr>
          <w:rFonts w:cs="Times New Roman"/>
          <w:bCs/>
          <w:szCs w:val="28"/>
        </w:rPr>
        <w:t>McKinley</w:t>
      </w:r>
      <w:proofErr w:type="spellEnd"/>
      <w:r w:rsidRPr="00486DFB">
        <w:rPr>
          <w:rFonts w:cs="Times New Roman"/>
          <w:bCs/>
          <w:szCs w:val="28"/>
        </w:rPr>
        <w:t xml:space="preserve"> и </w:t>
      </w:r>
      <w:proofErr w:type="spellStart"/>
      <w:r w:rsidRPr="00486DFB">
        <w:rPr>
          <w:rFonts w:cs="Times New Roman"/>
          <w:bCs/>
          <w:szCs w:val="28"/>
        </w:rPr>
        <w:t>Vacancysoft</w:t>
      </w:r>
      <w:proofErr w:type="spellEnd"/>
      <w:r w:rsidRPr="00486DFB">
        <w:rPr>
          <w:rFonts w:cs="Times New Roman"/>
          <w:bCs/>
          <w:szCs w:val="28"/>
        </w:rPr>
        <w:t>, на долю финтех-компаний теперь приходится более 20% всех вакансий в этой области против всего 12% в 2023 году. Спрос на риск-специалистов в финтехе вырос на 26%, тогда как традиционные банки продолжили сокращать найм (снижение на 1% в этом году после обвала на 30% в 2024‑м).</w:t>
      </w:r>
    </w:p>
    <w:p w14:paraId="0AAF88FC" w14:textId="77777777" w:rsidR="00486DFB" w:rsidRPr="00486DFB" w:rsidRDefault="00486DFB" w:rsidP="00D3273B">
      <w:pPr>
        <w:tabs>
          <w:tab w:val="left" w:pos="709"/>
        </w:tabs>
        <w:spacing w:after="0" w:line="276" w:lineRule="auto"/>
        <w:ind w:firstLine="851"/>
        <w:jc w:val="both"/>
        <w:rPr>
          <w:rFonts w:cs="Times New Roman"/>
          <w:bCs/>
          <w:szCs w:val="28"/>
        </w:rPr>
      </w:pPr>
      <w:r w:rsidRPr="00486DFB">
        <w:rPr>
          <w:rFonts w:cs="Times New Roman"/>
          <w:bCs/>
          <w:szCs w:val="28"/>
        </w:rPr>
        <w:t>Авторы объясняют этот контраст разной стратегией: банки, испытывающие давление на издержки, оптимизируют и автоматизируют функции риска и комплаенса, а финтех-компании активно строят соответствующие структуры с нуля в условиях растущих ожиданий регуляторов.</w:t>
      </w:r>
    </w:p>
    <w:p w14:paraId="6E1E5126" w14:textId="77777777" w:rsidR="00486DFB" w:rsidRPr="00486DFB" w:rsidRDefault="00486DFB" w:rsidP="00D3273B">
      <w:pPr>
        <w:tabs>
          <w:tab w:val="left" w:pos="709"/>
        </w:tabs>
        <w:spacing w:after="0" w:line="276" w:lineRule="auto"/>
        <w:ind w:firstLine="851"/>
        <w:jc w:val="both"/>
        <w:rPr>
          <w:rFonts w:cs="Times New Roman"/>
          <w:bCs/>
          <w:szCs w:val="28"/>
        </w:rPr>
      </w:pPr>
      <w:r w:rsidRPr="00486DFB">
        <w:rPr>
          <w:rFonts w:cs="Times New Roman"/>
          <w:bCs/>
          <w:szCs w:val="28"/>
        </w:rPr>
        <w:t>Внутри секторов также наблюдаются разнонаправленные тренды:</w:t>
      </w:r>
    </w:p>
    <w:p w14:paraId="7D79C5EC" w14:textId="31F53479" w:rsidR="00486DFB" w:rsidRPr="00486DFB" w:rsidRDefault="00486DFB" w:rsidP="00D3273B">
      <w:pPr>
        <w:tabs>
          <w:tab w:val="left" w:pos="709"/>
        </w:tabs>
        <w:spacing w:after="0" w:line="276" w:lineRule="auto"/>
        <w:ind w:firstLine="851"/>
        <w:jc w:val="both"/>
        <w:rPr>
          <w:rFonts w:cs="Times New Roman"/>
          <w:bCs/>
          <w:szCs w:val="28"/>
        </w:rPr>
      </w:pPr>
      <w:r w:rsidRPr="00486DFB">
        <w:rPr>
          <w:rFonts w:cs="Times New Roman"/>
          <w:bCs/>
          <w:szCs w:val="28"/>
        </w:rPr>
        <w:t xml:space="preserve">В финтехе резко вырос спрос на специалистов по кредитному риску (+200%) для сложного моделирования и по противодействию финансовым </w:t>
      </w:r>
      <w:r w:rsidRPr="00486DFB">
        <w:rPr>
          <w:rFonts w:cs="Times New Roman"/>
          <w:bCs/>
          <w:szCs w:val="28"/>
        </w:rPr>
        <w:lastRenderedPageBreak/>
        <w:t>преступлениям (+52%), что напрямую связано с усилением регуляторного внимания к транзакционному мониторингу и AML после серии штрафов в 2024 году.</w:t>
      </w:r>
    </w:p>
    <w:p w14:paraId="0E2A6FB2" w14:textId="0E445712" w:rsidR="00486DFB" w:rsidRPr="00486DFB" w:rsidRDefault="00486DFB" w:rsidP="00D3273B">
      <w:pPr>
        <w:tabs>
          <w:tab w:val="left" w:pos="709"/>
        </w:tabs>
        <w:spacing w:after="0" w:line="276" w:lineRule="auto"/>
        <w:ind w:firstLine="851"/>
        <w:jc w:val="both"/>
        <w:rPr>
          <w:rFonts w:cs="Times New Roman"/>
          <w:bCs/>
          <w:szCs w:val="28"/>
        </w:rPr>
      </w:pPr>
      <w:r w:rsidRPr="00486DFB">
        <w:rPr>
          <w:rFonts w:cs="Times New Roman"/>
          <w:bCs/>
          <w:szCs w:val="28"/>
        </w:rPr>
        <w:t xml:space="preserve">В традиционных банках при общем снижении найма в комплаенсе сохраняется высокий спрос на экспертов по кредитному риску и риск-менеджменту (вакансии выросли на 35,8% и 25,6% соответственно). При этом сильно сократились роли в области операционного риска и внутреннего контроля (падение на 22,9% и 45,2%). Яркий пример </w:t>
      </w:r>
      <w:r w:rsidR="006D36AE">
        <w:rPr>
          <w:rFonts w:cs="Times New Roman"/>
          <w:bCs/>
          <w:szCs w:val="28"/>
        </w:rPr>
        <w:t>–</w:t>
      </w:r>
      <w:r w:rsidRPr="00486DFB">
        <w:rPr>
          <w:rFonts w:cs="Times New Roman"/>
          <w:bCs/>
          <w:szCs w:val="28"/>
        </w:rPr>
        <w:t xml:space="preserve"> Barclays, где число соответствующих позиций сократилось вдвое </w:t>
      </w:r>
      <w:r w:rsidR="006D36AE">
        <w:rPr>
          <w:rFonts w:cs="Times New Roman"/>
          <w:bCs/>
          <w:szCs w:val="28"/>
        </w:rPr>
        <w:t>–</w:t>
      </w:r>
      <w:r w:rsidRPr="00486DFB">
        <w:rPr>
          <w:rFonts w:cs="Times New Roman"/>
          <w:bCs/>
          <w:szCs w:val="28"/>
        </w:rPr>
        <w:t xml:space="preserve"> с 583 в 2023 году до 287 в текущем.</w:t>
      </w:r>
    </w:p>
    <w:p w14:paraId="4CD63DF5" w14:textId="308EFA00" w:rsidR="00647287" w:rsidRDefault="00486DFB" w:rsidP="00D3273B">
      <w:pPr>
        <w:tabs>
          <w:tab w:val="left" w:pos="709"/>
        </w:tabs>
        <w:spacing w:after="0" w:line="276" w:lineRule="auto"/>
        <w:ind w:firstLine="851"/>
        <w:jc w:val="both"/>
        <w:rPr>
          <w:rFonts w:cs="Times New Roman"/>
          <w:bCs/>
          <w:szCs w:val="28"/>
        </w:rPr>
      </w:pPr>
      <w:r w:rsidRPr="00486DFB">
        <w:rPr>
          <w:rFonts w:cs="Times New Roman"/>
          <w:bCs/>
          <w:szCs w:val="28"/>
        </w:rPr>
        <w:t>Итогом этих процессов, по мнению авторов отчёта, становится сдвиг отрасли от рутинного надзора к системам управления, основанным на предиктивной аналитике и интеллектуальной обработке данных. Это и приводит к масштабному перераспределению кадрового спроса между аутсайдерами и новыми игроками финансового рынка.</w:t>
      </w:r>
    </w:p>
    <w:p w14:paraId="63C0F0B7" w14:textId="4A09DBC0" w:rsidR="00486DFB" w:rsidRPr="00647287" w:rsidRDefault="00486DFB" w:rsidP="00D3273B">
      <w:pPr>
        <w:spacing w:after="0" w:line="276" w:lineRule="auto"/>
        <w:ind w:firstLine="851"/>
        <w:jc w:val="both"/>
        <w:rPr>
          <w:rFonts w:cs="Times New Roman"/>
          <w:bCs/>
          <w:szCs w:val="28"/>
        </w:rPr>
      </w:pPr>
      <w:r w:rsidRPr="00647287">
        <w:rPr>
          <w:rFonts w:cs="Times New Roman"/>
          <w:b/>
          <w:bCs/>
          <w:szCs w:val="28"/>
        </w:rPr>
        <w:t>Источник</w:t>
      </w:r>
      <w:r w:rsidRPr="00647287">
        <w:rPr>
          <w:rFonts w:cs="Times New Roman"/>
          <w:bCs/>
          <w:szCs w:val="28"/>
        </w:rPr>
        <w:t xml:space="preserve">: </w:t>
      </w:r>
      <w:hyperlink r:id="rId8" w:history="1">
        <w:r w:rsidRPr="00ED2184">
          <w:rPr>
            <w:rStyle w:val="ac"/>
          </w:rPr>
          <w:t>https://www.commercialriskonline.com/fintechs-boost-risk-and-compliance-roles-as-banks-cut-back/</w:t>
        </w:r>
      </w:hyperlink>
      <w:r>
        <w:t xml:space="preserve"> 30.12.2025</w:t>
      </w:r>
    </w:p>
    <w:p w14:paraId="7BDF96D6" w14:textId="77777777" w:rsidR="00486DFB" w:rsidRPr="00647287" w:rsidRDefault="00486DFB" w:rsidP="00D3273B">
      <w:pPr>
        <w:spacing w:after="0" w:line="276" w:lineRule="auto"/>
        <w:ind w:firstLine="851"/>
        <w:jc w:val="both"/>
        <w:rPr>
          <w:rFonts w:cs="Times New Roman"/>
          <w:bCs/>
          <w:szCs w:val="28"/>
        </w:rPr>
      </w:pPr>
    </w:p>
    <w:p w14:paraId="4BAA8155" w14:textId="56DB583A" w:rsidR="00486DFB" w:rsidRPr="00274296" w:rsidRDefault="00486DFB" w:rsidP="00D3273B">
      <w:pPr>
        <w:pStyle w:val="1"/>
        <w:spacing w:before="0" w:after="0" w:line="276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  <w:bookmarkStart w:id="3" w:name="_Toc218102641"/>
      <w:r w:rsidRPr="00486DFB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4</w:t>
      </w:r>
      <w:r w:rsidRPr="00274296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.</w:t>
      </w:r>
      <w:r w:rsidRPr="00274296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ab/>
      </w:r>
      <w:proofErr w:type="spellStart"/>
      <w:r w:rsidRPr="00486DFB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Artex</w:t>
      </w:r>
      <w:proofErr w:type="spellEnd"/>
      <w:r w:rsidRPr="00486DFB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 xml:space="preserve">: рост числа </w:t>
      </w:r>
      <w:proofErr w:type="spellStart"/>
      <w:r w:rsidRPr="00486DFB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к</w:t>
      </w:r>
      <w:r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э</w:t>
      </w:r>
      <w:r w:rsidRPr="00486DFB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питивов</w:t>
      </w:r>
      <w:proofErr w:type="spellEnd"/>
      <w:r w:rsidRPr="00486DFB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 xml:space="preserve"> продолжается, несмотря на смягчение рынка</w:t>
      </w:r>
      <w:bookmarkEnd w:id="3"/>
    </w:p>
    <w:p w14:paraId="2C2C3A2B" w14:textId="701EE5C3" w:rsidR="00486DFB" w:rsidRPr="00486DFB" w:rsidRDefault="00486DFB" w:rsidP="00D3273B">
      <w:pPr>
        <w:tabs>
          <w:tab w:val="left" w:pos="709"/>
        </w:tabs>
        <w:spacing w:after="0" w:line="276" w:lineRule="auto"/>
        <w:ind w:firstLine="851"/>
        <w:jc w:val="both"/>
        <w:rPr>
          <w:rFonts w:cs="Times New Roman"/>
          <w:bCs/>
          <w:szCs w:val="28"/>
        </w:rPr>
      </w:pPr>
      <w:r w:rsidRPr="00486DFB">
        <w:rPr>
          <w:rFonts w:cs="Times New Roman"/>
          <w:bCs/>
          <w:szCs w:val="28"/>
        </w:rPr>
        <w:t>Крупные корпорации все чаще принимают стратегию «</w:t>
      </w:r>
      <w:proofErr w:type="spellStart"/>
      <w:r w:rsidRPr="00486DFB">
        <w:rPr>
          <w:rFonts w:cs="Times New Roman"/>
          <w:bCs/>
          <w:szCs w:val="28"/>
        </w:rPr>
        <w:t>captive-first</w:t>
      </w:r>
      <w:proofErr w:type="spellEnd"/>
      <w:r w:rsidRPr="00486DFB">
        <w:rPr>
          <w:rFonts w:cs="Times New Roman"/>
          <w:bCs/>
          <w:szCs w:val="28"/>
        </w:rPr>
        <w:t xml:space="preserve">», делая собственные страховые </w:t>
      </w:r>
      <w:proofErr w:type="spellStart"/>
      <w:r w:rsidRPr="00486DFB">
        <w:rPr>
          <w:rFonts w:cs="Times New Roman"/>
          <w:bCs/>
          <w:szCs w:val="28"/>
        </w:rPr>
        <w:t>к</w:t>
      </w:r>
      <w:r>
        <w:rPr>
          <w:rFonts w:cs="Times New Roman"/>
          <w:bCs/>
          <w:szCs w:val="28"/>
        </w:rPr>
        <w:t>э</w:t>
      </w:r>
      <w:r w:rsidRPr="00486DFB">
        <w:rPr>
          <w:rFonts w:cs="Times New Roman"/>
          <w:bCs/>
          <w:szCs w:val="28"/>
        </w:rPr>
        <w:t>питивы</w:t>
      </w:r>
      <w:proofErr w:type="spellEnd"/>
      <w:r w:rsidRPr="00486DFB">
        <w:rPr>
          <w:rFonts w:cs="Times New Roman"/>
          <w:bCs/>
          <w:szCs w:val="28"/>
        </w:rPr>
        <w:t xml:space="preserve"> основным инструментом управления ключевыми рисками, а не полагаясь исключительно на традиционный страховой рынок. Об этом говорится в отчете эксперта по альтернативному переносу рисков (ART) компании </w:t>
      </w:r>
      <w:proofErr w:type="spellStart"/>
      <w:r w:rsidRPr="00486DFB">
        <w:rPr>
          <w:rFonts w:cs="Times New Roman"/>
          <w:bCs/>
          <w:szCs w:val="28"/>
        </w:rPr>
        <w:t>Artex</w:t>
      </w:r>
      <w:proofErr w:type="spellEnd"/>
      <w:r w:rsidRPr="00486DFB">
        <w:rPr>
          <w:rFonts w:cs="Times New Roman"/>
          <w:bCs/>
          <w:szCs w:val="28"/>
        </w:rPr>
        <w:t>.</w:t>
      </w:r>
    </w:p>
    <w:p w14:paraId="692A70E9" w14:textId="1865960D" w:rsidR="00486DFB" w:rsidRPr="00486DFB" w:rsidRDefault="00486DFB" w:rsidP="00D3273B">
      <w:pPr>
        <w:tabs>
          <w:tab w:val="left" w:pos="709"/>
        </w:tabs>
        <w:spacing w:after="0" w:line="276" w:lineRule="auto"/>
        <w:ind w:firstLine="851"/>
        <w:jc w:val="both"/>
        <w:rPr>
          <w:rFonts w:cs="Times New Roman"/>
          <w:bCs/>
          <w:szCs w:val="28"/>
        </w:rPr>
      </w:pPr>
      <w:r w:rsidRPr="00486DFB">
        <w:rPr>
          <w:rFonts w:cs="Times New Roman"/>
          <w:bCs/>
          <w:szCs w:val="28"/>
        </w:rPr>
        <w:t xml:space="preserve">Примечательно, что рост числа </w:t>
      </w:r>
      <w:proofErr w:type="spellStart"/>
      <w:r w:rsidRPr="00486DFB">
        <w:rPr>
          <w:rFonts w:cs="Times New Roman"/>
          <w:bCs/>
          <w:szCs w:val="28"/>
        </w:rPr>
        <w:t>к</w:t>
      </w:r>
      <w:r>
        <w:rPr>
          <w:rFonts w:cs="Times New Roman"/>
          <w:bCs/>
          <w:szCs w:val="28"/>
        </w:rPr>
        <w:t>э</w:t>
      </w:r>
      <w:r w:rsidRPr="00486DFB">
        <w:rPr>
          <w:rFonts w:cs="Times New Roman"/>
          <w:bCs/>
          <w:szCs w:val="28"/>
        </w:rPr>
        <w:t>питивов</w:t>
      </w:r>
      <w:proofErr w:type="spellEnd"/>
      <w:r w:rsidRPr="00486DFB">
        <w:rPr>
          <w:rFonts w:cs="Times New Roman"/>
          <w:bCs/>
          <w:szCs w:val="28"/>
        </w:rPr>
        <w:t xml:space="preserve"> продолжается в Северной Америке, </w:t>
      </w:r>
      <w:r w:rsidR="00D3273B">
        <w:rPr>
          <w:rFonts w:cs="Times New Roman"/>
          <w:bCs/>
          <w:szCs w:val="28"/>
        </w:rPr>
        <w:t>с</w:t>
      </w:r>
      <w:r w:rsidR="00D3273B" w:rsidRPr="00D3273B">
        <w:rPr>
          <w:rFonts w:cs="Times New Roman"/>
          <w:bCs/>
          <w:szCs w:val="28"/>
        </w:rPr>
        <w:t>тран</w:t>
      </w:r>
      <w:r w:rsidR="00D3273B">
        <w:rPr>
          <w:rFonts w:cs="Times New Roman"/>
          <w:bCs/>
          <w:szCs w:val="28"/>
        </w:rPr>
        <w:t>ах</w:t>
      </w:r>
      <w:r w:rsidR="00D3273B" w:rsidRPr="00D3273B">
        <w:rPr>
          <w:rFonts w:cs="Times New Roman"/>
          <w:bCs/>
          <w:szCs w:val="28"/>
        </w:rPr>
        <w:t xml:space="preserve"> Европы, Ближнего Востока и Африки</w:t>
      </w:r>
      <w:r w:rsidR="00D3273B">
        <w:rPr>
          <w:rFonts w:cs="Times New Roman"/>
          <w:bCs/>
          <w:szCs w:val="28"/>
        </w:rPr>
        <w:t xml:space="preserve"> </w:t>
      </w:r>
      <w:r w:rsidRPr="00486DFB">
        <w:rPr>
          <w:rFonts w:cs="Times New Roman"/>
          <w:bCs/>
          <w:szCs w:val="28"/>
        </w:rPr>
        <w:t xml:space="preserve">и Азии, несмотря на стабилизацию и смягчение условий на многих сегментах коммерческого страхования, где сейчас формируется рынок покупателя. Как отмечает CEO </w:t>
      </w:r>
      <w:proofErr w:type="spellStart"/>
      <w:r w:rsidRPr="00486DFB">
        <w:rPr>
          <w:rFonts w:cs="Times New Roman"/>
          <w:bCs/>
          <w:szCs w:val="28"/>
        </w:rPr>
        <w:t>Artex</w:t>
      </w:r>
      <w:proofErr w:type="spellEnd"/>
      <w:r w:rsidRPr="00486DFB">
        <w:rPr>
          <w:rFonts w:cs="Times New Roman"/>
          <w:bCs/>
          <w:szCs w:val="28"/>
        </w:rPr>
        <w:t xml:space="preserve">, поток запросов на создание новых </w:t>
      </w:r>
      <w:proofErr w:type="spellStart"/>
      <w:r w:rsidRPr="00486DFB">
        <w:rPr>
          <w:rFonts w:cs="Times New Roman"/>
          <w:bCs/>
          <w:szCs w:val="28"/>
        </w:rPr>
        <w:t>к</w:t>
      </w:r>
      <w:r>
        <w:rPr>
          <w:rFonts w:cs="Times New Roman"/>
          <w:bCs/>
          <w:szCs w:val="28"/>
        </w:rPr>
        <w:t>э</w:t>
      </w:r>
      <w:r w:rsidRPr="00486DFB">
        <w:rPr>
          <w:rFonts w:cs="Times New Roman"/>
          <w:bCs/>
          <w:szCs w:val="28"/>
        </w:rPr>
        <w:t>питивов</w:t>
      </w:r>
      <w:proofErr w:type="spellEnd"/>
      <w:r w:rsidRPr="00486DFB">
        <w:rPr>
          <w:rFonts w:cs="Times New Roman"/>
          <w:bCs/>
          <w:szCs w:val="28"/>
        </w:rPr>
        <w:t xml:space="preserve"> остается устойчивым. Это указывает на смену парадигмы: если раньше </w:t>
      </w:r>
      <w:proofErr w:type="spellStart"/>
      <w:r w:rsidRPr="00486DFB">
        <w:rPr>
          <w:rFonts w:cs="Times New Roman"/>
          <w:bCs/>
          <w:szCs w:val="28"/>
        </w:rPr>
        <w:t>к</w:t>
      </w:r>
      <w:r>
        <w:rPr>
          <w:rFonts w:cs="Times New Roman"/>
          <w:bCs/>
          <w:szCs w:val="28"/>
        </w:rPr>
        <w:t>э</w:t>
      </w:r>
      <w:r w:rsidRPr="00486DFB">
        <w:rPr>
          <w:rFonts w:cs="Times New Roman"/>
          <w:bCs/>
          <w:szCs w:val="28"/>
        </w:rPr>
        <w:t>питивы</w:t>
      </w:r>
      <w:proofErr w:type="spellEnd"/>
      <w:r w:rsidRPr="00486DFB">
        <w:rPr>
          <w:rFonts w:cs="Times New Roman"/>
          <w:bCs/>
          <w:szCs w:val="28"/>
        </w:rPr>
        <w:t xml:space="preserve"> создавались в основном в периоды «жёсткого» рынка для </w:t>
      </w:r>
      <w:proofErr w:type="spellStart"/>
      <w:r w:rsidRPr="00486DFB">
        <w:rPr>
          <w:rFonts w:cs="Times New Roman"/>
          <w:bCs/>
          <w:szCs w:val="28"/>
        </w:rPr>
        <w:t>труднострахуемых</w:t>
      </w:r>
      <w:proofErr w:type="spellEnd"/>
      <w:r w:rsidRPr="00486DFB">
        <w:rPr>
          <w:rFonts w:cs="Times New Roman"/>
          <w:bCs/>
          <w:szCs w:val="28"/>
        </w:rPr>
        <w:t xml:space="preserve"> рисков, то теперь они становятся постоянным стратегическим активом.</w:t>
      </w:r>
    </w:p>
    <w:p w14:paraId="0A37635A" w14:textId="365DA763" w:rsidR="00486DFB" w:rsidRPr="00486DFB" w:rsidRDefault="00486DFB" w:rsidP="00D3273B">
      <w:pPr>
        <w:tabs>
          <w:tab w:val="left" w:pos="709"/>
        </w:tabs>
        <w:spacing w:after="0" w:line="276" w:lineRule="auto"/>
        <w:ind w:firstLine="851"/>
        <w:jc w:val="both"/>
        <w:rPr>
          <w:rFonts w:cs="Times New Roman"/>
          <w:bCs/>
          <w:szCs w:val="28"/>
        </w:rPr>
      </w:pPr>
      <w:proofErr w:type="spellStart"/>
      <w:r w:rsidRPr="00486DFB">
        <w:rPr>
          <w:rFonts w:cs="Times New Roman"/>
          <w:bCs/>
          <w:szCs w:val="28"/>
        </w:rPr>
        <w:t>Artex</w:t>
      </w:r>
      <w:proofErr w:type="spellEnd"/>
      <w:r w:rsidRPr="00486DFB">
        <w:rPr>
          <w:rFonts w:cs="Times New Roman"/>
          <w:bCs/>
          <w:szCs w:val="28"/>
        </w:rPr>
        <w:t xml:space="preserve"> призывает обновить взгляд на </w:t>
      </w:r>
      <w:proofErr w:type="spellStart"/>
      <w:r w:rsidRPr="00486DFB">
        <w:rPr>
          <w:rFonts w:cs="Times New Roman"/>
          <w:bCs/>
          <w:szCs w:val="28"/>
        </w:rPr>
        <w:t>к</w:t>
      </w:r>
      <w:r>
        <w:rPr>
          <w:rFonts w:cs="Times New Roman"/>
          <w:bCs/>
          <w:szCs w:val="28"/>
        </w:rPr>
        <w:t>э</w:t>
      </w:r>
      <w:r w:rsidRPr="00486DFB">
        <w:rPr>
          <w:rFonts w:cs="Times New Roman"/>
          <w:bCs/>
          <w:szCs w:val="28"/>
        </w:rPr>
        <w:t>питивы</w:t>
      </w:r>
      <w:proofErr w:type="spellEnd"/>
      <w:r w:rsidRPr="00486DFB">
        <w:rPr>
          <w:rFonts w:cs="Times New Roman"/>
          <w:bCs/>
          <w:szCs w:val="28"/>
        </w:rPr>
        <w:t xml:space="preserve"> и не рассматривать их просто как альтернативу традиционному страхованию. Их применение расширяется на такие области, как </w:t>
      </w:r>
      <w:r w:rsidR="00D3273B">
        <w:rPr>
          <w:rFonts w:cs="Times New Roman"/>
          <w:bCs/>
          <w:szCs w:val="28"/>
          <w:lang w:val="en-US"/>
        </w:rPr>
        <w:t>c</w:t>
      </w:r>
      <w:proofErr w:type="spellStart"/>
      <w:r w:rsidR="00D3273B" w:rsidRPr="00D3273B">
        <w:rPr>
          <w:rFonts w:cs="Times New Roman"/>
          <w:bCs/>
          <w:szCs w:val="28"/>
        </w:rPr>
        <w:t>трахование</w:t>
      </w:r>
      <w:proofErr w:type="spellEnd"/>
      <w:r w:rsidR="00D3273B" w:rsidRPr="00D3273B">
        <w:rPr>
          <w:rFonts w:cs="Times New Roman"/>
          <w:bCs/>
          <w:szCs w:val="28"/>
        </w:rPr>
        <w:t xml:space="preserve"> ответственности директоров и руководителей</w:t>
      </w:r>
      <w:r w:rsidRPr="00486DFB">
        <w:rPr>
          <w:rFonts w:cs="Times New Roman"/>
          <w:bCs/>
          <w:szCs w:val="28"/>
        </w:rPr>
        <w:t xml:space="preserve">, риски цепочек поставок, терроризм и программы льгот для </w:t>
      </w:r>
      <w:r w:rsidRPr="00486DFB">
        <w:rPr>
          <w:rFonts w:cs="Times New Roman"/>
          <w:bCs/>
          <w:szCs w:val="28"/>
        </w:rPr>
        <w:lastRenderedPageBreak/>
        <w:t>сотрудников, что позволяет компаниям через единую структуру покрывать комплекс финансовых и операционных рисков.</w:t>
      </w:r>
    </w:p>
    <w:p w14:paraId="5CEF4F45" w14:textId="06648F9A" w:rsidR="00486DFB" w:rsidRDefault="00486DFB" w:rsidP="00D3273B">
      <w:pPr>
        <w:tabs>
          <w:tab w:val="left" w:pos="709"/>
        </w:tabs>
        <w:spacing w:after="0" w:line="276" w:lineRule="auto"/>
        <w:ind w:firstLine="851"/>
        <w:jc w:val="both"/>
        <w:rPr>
          <w:rFonts w:cs="Times New Roman"/>
          <w:bCs/>
          <w:szCs w:val="28"/>
          <w:lang w:val="en-US"/>
        </w:rPr>
      </w:pPr>
      <w:r w:rsidRPr="00486DFB">
        <w:rPr>
          <w:rFonts w:cs="Times New Roman"/>
          <w:bCs/>
          <w:szCs w:val="28"/>
        </w:rPr>
        <w:t xml:space="preserve">Параллельно развивается и регуляторная среда: все больше юрисдикций стремятся привлечь этот бизнес. Ключевым событием 2025 года </w:t>
      </w:r>
      <w:proofErr w:type="spellStart"/>
      <w:r w:rsidRPr="00486DFB">
        <w:rPr>
          <w:rFonts w:cs="Times New Roman"/>
          <w:bCs/>
          <w:szCs w:val="28"/>
        </w:rPr>
        <w:t>Artex</w:t>
      </w:r>
      <w:proofErr w:type="spellEnd"/>
      <w:r w:rsidRPr="00486DFB">
        <w:rPr>
          <w:rFonts w:cs="Times New Roman"/>
          <w:bCs/>
          <w:szCs w:val="28"/>
        </w:rPr>
        <w:t xml:space="preserve"> называет планы Великобритании по внедрению к середине 2027 года специального, благоприятного для </w:t>
      </w:r>
      <w:proofErr w:type="spellStart"/>
      <w:r w:rsidRPr="00486DFB">
        <w:rPr>
          <w:rFonts w:cs="Times New Roman"/>
          <w:bCs/>
          <w:szCs w:val="28"/>
        </w:rPr>
        <w:t>к</w:t>
      </w:r>
      <w:r>
        <w:rPr>
          <w:rFonts w:cs="Times New Roman"/>
          <w:bCs/>
          <w:szCs w:val="28"/>
        </w:rPr>
        <w:t>э</w:t>
      </w:r>
      <w:r w:rsidRPr="00486DFB">
        <w:rPr>
          <w:rFonts w:cs="Times New Roman"/>
          <w:bCs/>
          <w:szCs w:val="28"/>
        </w:rPr>
        <w:t>питивов</w:t>
      </w:r>
      <w:proofErr w:type="spellEnd"/>
      <w:r w:rsidRPr="00486DFB">
        <w:rPr>
          <w:rFonts w:cs="Times New Roman"/>
          <w:bCs/>
          <w:szCs w:val="28"/>
        </w:rPr>
        <w:t xml:space="preserve"> регуляторного режима. Это может побудить британские компании перевести свои </w:t>
      </w:r>
      <w:proofErr w:type="spellStart"/>
      <w:r w:rsidRPr="00486DFB">
        <w:rPr>
          <w:rFonts w:cs="Times New Roman"/>
          <w:bCs/>
          <w:szCs w:val="28"/>
        </w:rPr>
        <w:t>к</w:t>
      </w:r>
      <w:r>
        <w:rPr>
          <w:rFonts w:cs="Times New Roman"/>
          <w:bCs/>
          <w:szCs w:val="28"/>
        </w:rPr>
        <w:t>э</w:t>
      </w:r>
      <w:r w:rsidRPr="00486DFB">
        <w:rPr>
          <w:rFonts w:cs="Times New Roman"/>
          <w:bCs/>
          <w:szCs w:val="28"/>
        </w:rPr>
        <w:t>питивы</w:t>
      </w:r>
      <w:proofErr w:type="spellEnd"/>
      <w:r w:rsidRPr="00486DFB">
        <w:rPr>
          <w:rFonts w:cs="Times New Roman"/>
          <w:bCs/>
          <w:szCs w:val="28"/>
        </w:rPr>
        <w:t xml:space="preserve"> из офшоров (Гернси, остров Мэн, Бермуды) в Лондон. Однако в статье делается важная оговорка: несмотря на статус Лондона как мировой страховой столицы, его успех в качестве центра формирования </w:t>
      </w:r>
      <w:proofErr w:type="spellStart"/>
      <w:r w:rsidRPr="00486DFB">
        <w:rPr>
          <w:rFonts w:cs="Times New Roman"/>
          <w:bCs/>
          <w:szCs w:val="28"/>
        </w:rPr>
        <w:t>к</w:t>
      </w:r>
      <w:r>
        <w:rPr>
          <w:rFonts w:cs="Times New Roman"/>
          <w:bCs/>
          <w:szCs w:val="28"/>
        </w:rPr>
        <w:t>э</w:t>
      </w:r>
      <w:r w:rsidRPr="00486DFB">
        <w:rPr>
          <w:rFonts w:cs="Times New Roman"/>
          <w:bCs/>
          <w:szCs w:val="28"/>
        </w:rPr>
        <w:t>питивов</w:t>
      </w:r>
      <w:proofErr w:type="spellEnd"/>
      <w:r w:rsidRPr="00486DFB">
        <w:rPr>
          <w:rFonts w:cs="Times New Roman"/>
          <w:bCs/>
          <w:szCs w:val="28"/>
        </w:rPr>
        <w:t xml:space="preserve"> не гарантирован. Новому рынку необходимо будет привлечь именно новый бизнес, а не просто стать местом релокации уже существующих структур.</w:t>
      </w:r>
    </w:p>
    <w:p w14:paraId="697BDC21" w14:textId="347EF724" w:rsidR="00D3273B" w:rsidRPr="00647287" w:rsidRDefault="00D3273B" w:rsidP="00D3273B">
      <w:pPr>
        <w:spacing w:after="0" w:line="276" w:lineRule="auto"/>
        <w:ind w:firstLine="851"/>
        <w:jc w:val="both"/>
        <w:rPr>
          <w:rFonts w:cs="Times New Roman"/>
          <w:bCs/>
          <w:szCs w:val="28"/>
        </w:rPr>
      </w:pPr>
      <w:r w:rsidRPr="00647287">
        <w:rPr>
          <w:rFonts w:cs="Times New Roman"/>
          <w:b/>
          <w:bCs/>
          <w:szCs w:val="28"/>
        </w:rPr>
        <w:t>Источник</w:t>
      </w:r>
      <w:r w:rsidRPr="00647287">
        <w:rPr>
          <w:rFonts w:cs="Times New Roman"/>
          <w:bCs/>
          <w:szCs w:val="28"/>
        </w:rPr>
        <w:t xml:space="preserve">: </w:t>
      </w:r>
      <w:hyperlink r:id="rId9" w:history="1">
        <w:r w:rsidRPr="00D3273B">
          <w:rPr>
            <w:rStyle w:val="ac"/>
          </w:rPr>
          <w:t>https://www.commercialriskonline.com/captive-growth-withstands-softer-market-says-artex/</w:t>
        </w:r>
      </w:hyperlink>
      <w:r>
        <w:t xml:space="preserve"> 30.12.2025</w:t>
      </w:r>
    </w:p>
    <w:p w14:paraId="4FB8DF64" w14:textId="77777777" w:rsidR="00D3273B" w:rsidRPr="00647287" w:rsidRDefault="00D3273B" w:rsidP="00D3273B">
      <w:pPr>
        <w:spacing w:after="0" w:line="276" w:lineRule="auto"/>
        <w:ind w:firstLine="851"/>
        <w:jc w:val="both"/>
        <w:rPr>
          <w:rFonts w:cs="Times New Roman"/>
          <w:bCs/>
          <w:szCs w:val="28"/>
        </w:rPr>
      </w:pPr>
    </w:p>
    <w:p w14:paraId="025ECD68" w14:textId="42621C2D" w:rsidR="00D3273B" w:rsidRPr="00274296" w:rsidRDefault="00D3273B" w:rsidP="00D3273B">
      <w:pPr>
        <w:pStyle w:val="1"/>
        <w:spacing w:before="0" w:after="0" w:line="276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  <w:bookmarkStart w:id="4" w:name="_Toc218102642"/>
      <w:r w:rsidRPr="00D3273B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5</w:t>
      </w:r>
      <w:r w:rsidRPr="00274296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.</w:t>
      </w:r>
      <w:r w:rsidRPr="00274296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ab/>
      </w:r>
      <w:r w:rsidRPr="00D3273B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 xml:space="preserve">Аппетит к риску </w:t>
      </w:r>
      <w:r w:rsidR="006D36AE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–</w:t>
      </w:r>
      <w:r w:rsidRPr="00D3273B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 xml:space="preserve"> ключевой фактор при изменении страховой защиты на смягчающемся рынке, заявляют швейцарские покупатели</w:t>
      </w:r>
      <w:bookmarkEnd w:id="4"/>
    </w:p>
    <w:p w14:paraId="10DFA213" w14:textId="1F2A7A1A" w:rsidR="00D3273B" w:rsidRPr="00D3273B" w:rsidRDefault="00D3273B" w:rsidP="00D3273B">
      <w:pPr>
        <w:tabs>
          <w:tab w:val="left" w:pos="709"/>
        </w:tabs>
        <w:spacing w:after="0" w:line="276" w:lineRule="auto"/>
        <w:ind w:firstLine="851"/>
        <w:jc w:val="both"/>
        <w:rPr>
          <w:rFonts w:cs="Times New Roman"/>
          <w:bCs/>
          <w:szCs w:val="28"/>
        </w:rPr>
      </w:pPr>
      <w:r w:rsidRPr="00D3273B">
        <w:rPr>
          <w:rFonts w:cs="Times New Roman"/>
          <w:bCs/>
          <w:szCs w:val="28"/>
        </w:rPr>
        <w:t xml:space="preserve">Ведущие швейцарские эксперты по риск-менеджменту </w:t>
      </w:r>
      <w:r w:rsidR="006D36AE">
        <w:rPr>
          <w:rFonts w:cs="Times New Roman"/>
          <w:bCs/>
          <w:szCs w:val="28"/>
        </w:rPr>
        <w:t>–</w:t>
      </w:r>
      <w:r w:rsidRPr="00D3273B">
        <w:rPr>
          <w:rFonts w:cs="Times New Roman"/>
          <w:bCs/>
          <w:szCs w:val="28"/>
        </w:rPr>
        <w:t xml:space="preserve"> члены совета ассоциации </w:t>
      </w:r>
      <w:proofErr w:type="spellStart"/>
      <w:r w:rsidRPr="00D3273B">
        <w:rPr>
          <w:rFonts w:cs="Times New Roman"/>
          <w:bCs/>
          <w:szCs w:val="28"/>
        </w:rPr>
        <w:t>Sirm</w:t>
      </w:r>
      <w:proofErr w:type="spellEnd"/>
      <w:r w:rsidRPr="00D3273B">
        <w:rPr>
          <w:rFonts w:cs="Times New Roman"/>
          <w:bCs/>
          <w:szCs w:val="28"/>
        </w:rPr>
        <w:t xml:space="preserve"> </w:t>
      </w:r>
      <w:r w:rsidR="006D36AE">
        <w:rPr>
          <w:rFonts w:cs="Times New Roman"/>
          <w:bCs/>
          <w:szCs w:val="28"/>
        </w:rPr>
        <w:t>–</w:t>
      </w:r>
      <w:r w:rsidRPr="00D3273B">
        <w:rPr>
          <w:rFonts w:cs="Times New Roman"/>
          <w:bCs/>
          <w:szCs w:val="28"/>
        </w:rPr>
        <w:t xml:space="preserve"> предлагают стратегический подход для </w:t>
      </w:r>
      <w:r w:rsidR="000B6B76">
        <w:rPr>
          <w:rFonts w:cs="Times New Roman"/>
          <w:bCs/>
          <w:szCs w:val="28"/>
        </w:rPr>
        <w:t>страхователей</w:t>
      </w:r>
      <w:r w:rsidRPr="00D3273B">
        <w:rPr>
          <w:rFonts w:cs="Times New Roman"/>
          <w:bCs/>
          <w:szCs w:val="28"/>
        </w:rPr>
        <w:t xml:space="preserve"> в период смягчения рынка. Основной принцип: решения об изменении франшиз или объёмов покрытия должны определяться в первую очередь утверждённым аппетитом к риску компании, а не только конъюнктурой.</w:t>
      </w:r>
    </w:p>
    <w:p w14:paraId="7768C105" w14:textId="2722694A" w:rsidR="00D3273B" w:rsidRPr="00D3273B" w:rsidRDefault="00D3273B" w:rsidP="00D3273B">
      <w:pPr>
        <w:tabs>
          <w:tab w:val="left" w:pos="709"/>
        </w:tabs>
        <w:spacing w:after="0" w:line="276" w:lineRule="auto"/>
        <w:ind w:firstLine="851"/>
        <w:jc w:val="both"/>
        <w:rPr>
          <w:rFonts w:cs="Times New Roman"/>
          <w:bCs/>
          <w:szCs w:val="28"/>
        </w:rPr>
      </w:pPr>
      <w:r w:rsidRPr="00D3273B">
        <w:rPr>
          <w:rFonts w:cs="Times New Roman"/>
          <w:bCs/>
          <w:szCs w:val="28"/>
        </w:rPr>
        <w:t xml:space="preserve">Специалисты подчёркивают, что любые изменения не должны быть автоматическими. Улучшение условий имеет смысл, только если в период жёсткого рынка компания была вынуждена принять на себя больший риск, чем ей комфортно (например, согласиться на завышенные франшизы). Если же текущие условия уже соответствуют риск-аппетиту, сэкономленные на страховке средства </w:t>
      </w:r>
      <w:r w:rsidR="000B6B76">
        <w:rPr>
          <w:rFonts w:cs="Times New Roman"/>
          <w:bCs/>
          <w:szCs w:val="28"/>
        </w:rPr>
        <w:t>необходимо</w:t>
      </w:r>
      <w:r w:rsidRPr="00D3273B">
        <w:rPr>
          <w:rFonts w:cs="Times New Roman"/>
          <w:bCs/>
          <w:szCs w:val="28"/>
        </w:rPr>
        <w:t xml:space="preserve"> вернуть в бюджет </w:t>
      </w:r>
      <w:r w:rsidR="006D36AE">
        <w:rPr>
          <w:rFonts w:cs="Times New Roman"/>
          <w:bCs/>
          <w:szCs w:val="28"/>
        </w:rPr>
        <w:t>–</w:t>
      </w:r>
      <w:r w:rsidRPr="00D3273B">
        <w:rPr>
          <w:rFonts w:cs="Times New Roman"/>
          <w:bCs/>
          <w:szCs w:val="28"/>
        </w:rPr>
        <w:t xml:space="preserve"> часто под давлением со стороны финансового департамента. Наиболее эффективной признаётся гибридная стратегия, при которой экономия делится на прямые сбережения и реинвестиции. Последние направляются на оптимизацию страховой программы и, что критически важно, </w:t>
      </w:r>
      <w:r w:rsidR="006D36AE">
        <w:rPr>
          <w:rFonts w:cs="Times New Roman"/>
          <w:bCs/>
          <w:szCs w:val="28"/>
        </w:rPr>
        <w:t>–</w:t>
      </w:r>
      <w:r w:rsidRPr="00D3273B">
        <w:rPr>
          <w:rFonts w:cs="Times New Roman"/>
          <w:bCs/>
          <w:szCs w:val="28"/>
        </w:rPr>
        <w:t xml:space="preserve"> на проекты по предотвращению убытков и оценке рисков, что укрепляет компанию в долгосрочной перспективе.</w:t>
      </w:r>
    </w:p>
    <w:p w14:paraId="0D0CFFD0" w14:textId="7721419A" w:rsidR="00D3273B" w:rsidRPr="00D3273B" w:rsidRDefault="00D3273B" w:rsidP="00D3273B">
      <w:pPr>
        <w:tabs>
          <w:tab w:val="left" w:pos="709"/>
        </w:tabs>
        <w:spacing w:after="0" w:line="276" w:lineRule="auto"/>
        <w:ind w:firstLine="851"/>
        <w:jc w:val="both"/>
        <w:rPr>
          <w:rFonts w:cs="Times New Roman"/>
          <w:bCs/>
          <w:szCs w:val="28"/>
        </w:rPr>
      </w:pPr>
      <w:r w:rsidRPr="00D3273B">
        <w:rPr>
          <w:rFonts w:cs="Times New Roman"/>
          <w:bCs/>
          <w:szCs w:val="28"/>
        </w:rPr>
        <w:t xml:space="preserve">Этот подход </w:t>
      </w:r>
      <w:r w:rsidR="006D36AE">
        <w:rPr>
          <w:rFonts w:cs="Times New Roman"/>
          <w:bCs/>
          <w:szCs w:val="28"/>
        </w:rPr>
        <w:t>–</w:t>
      </w:r>
      <w:r w:rsidRPr="00D3273B">
        <w:rPr>
          <w:rFonts w:cs="Times New Roman"/>
          <w:bCs/>
          <w:szCs w:val="28"/>
        </w:rPr>
        <w:t xml:space="preserve"> также инструмент стратегического планирования. Улучшение условий в «мягкий» период создаёт пространство для манёвра. Когда рынок вновь ужесточится, у риск-менеджера будет возможность, </w:t>
      </w:r>
      <w:r w:rsidRPr="00D3273B">
        <w:rPr>
          <w:rFonts w:cs="Times New Roman"/>
          <w:bCs/>
          <w:szCs w:val="28"/>
        </w:rPr>
        <w:lastRenderedPageBreak/>
        <w:t>например, согласиться на умеренное повышение франшизы, чтобы сдержать рост стоимости полиса.</w:t>
      </w:r>
    </w:p>
    <w:p w14:paraId="162DA432" w14:textId="55216A94" w:rsidR="00D3273B" w:rsidRPr="00D3273B" w:rsidRDefault="00D3273B" w:rsidP="00D3273B">
      <w:pPr>
        <w:tabs>
          <w:tab w:val="left" w:pos="709"/>
        </w:tabs>
        <w:spacing w:after="0" w:line="276" w:lineRule="auto"/>
        <w:ind w:firstLine="851"/>
        <w:jc w:val="both"/>
        <w:rPr>
          <w:rFonts w:cs="Times New Roman"/>
          <w:bCs/>
          <w:szCs w:val="28"/>
        </w:rPr>
      </w:pPr>
      <w:r w:rsidRPr="00D3273B">
        <w:rPr>
          <w:rFonts w:cs="Times New Roman"/>
          <w:bCs/>
          <w:szCs w:val="28"/>
        </w:rPr>
        <w:t xml:space="preserve">Помимо внутренней стратегии, в статье описаны ожидания покупателей от страховщиков. Чтобы у клиентов был стимул поддерживать уровень страховых премий, рынок должен эволюционировать от транзакционных сделок к партнёрству. Ожидается, что страховщики будут предоставлять экспертизу в области непрерывности бизнеса, анализа </w:t>
      </w:r>
      <w:proofErr w:type="spellStart"/>
      <w:r w:rsidRPr="00D3273B">
        <w:rPr>
          <w:rFonts w:cs="Times New Roman"/>
          <w:bCs/>
          <w:szCs w:val="28"/>
        </w:rPr>
        <w:t>киберрисков</w:t>
      </w:r>
      <w:proofErr w:type="spellEnd"/>
      <w:r w:rsidRPr="00D3273B">
        <w:rPr>
          <w:rFonts w:cs="Times New Roman"/>
          <w:bCs/>
          <w:szCs w:val="28"/>
        </w:rPr>
        <w:t xml:space="preserve">, а также разрабатывать инновационные продукты: например, страхование, основанное на доказанных результатах по контролю убытков, или модульное покрытие для новых рисков. Также важны использование данных и ИИ для прозрачного диалога в андеррайтинге. Президент </w:t>
      </w:r>
      <w:proofErr w:type="spellStart"/>
      <w:r w:rsidRPr="00D3273B">
        <w:rPr>
          <w:rFonts w:cs="Times New Roman"/>
          <w:bCs/>
          <w:szCs w:val="28"/>
        </w:rPr>
        <w:t>Sirm</w:t>
      </w:r>
      <w:proofErr w:type="spellEnd"/>
      <w:r w:rsidRPr="00D3273B">
        <w:rPr>
          <w:rFonts w:cs="Times New Roman"/>
          <w:bCs/>
          <w:szCs w:val="28"/>
        </w:rPr>
        <w:t xml:space="preserve"> Сабрина </w:t>
      </w:r>
      <w:proofErr w:type="spellStart"/>
      <w:r w:rsidRPr="00D3273B">
        <w:rPr>
          <w:rFonts w:cs="Times New Roman"/>
          <w:bCs/>
          <w:szCs w:val="28"/>
        </w:rPr>
        <w:t>Хартуш</w:t>
      </w:r>
      <w:proofErr w:type="spellEnd"/>
      <w:r w:rsidRPr="00D3273B">
        <w:rPr>
          <w:rFonts w:cs="Times New Roman"/>
          <w:bCs/>
          <w:szCs w:val="28"/>
        </w:rPr>
        <w:t xml:space="preserve"> отмечает, что истинные партнёрские отношения становятся более ощутимыми, а поддержка в области предотвращения убытков и обмена лучшими практиками усиливается.</w:t>
      </w:r>
    </w:p>
    <w:p w14:paraId="39C4CD7B" w14:textId="6920D0F2" w:rsidR="00D3273B" w:rsidRDefault="00D3273B" w:rsidP="00D3273B">
      <w:pPr>
        <w:tabs>
          <w:tab w:val="left" w:pos="709"/>
        </w:tabs>
        <w:spacing w:after="0" w:line="276" w:lineRule="auto"/>
        <w:ind w:firstLine="851"/>
        <w:jc w:val="both"/>
        <w:rPr>
          <w:rFonts w:cs="Times New Roman"/>
          <w:bCs/>
          <w:szCs w:val="28"/>
        </w:rPr>
      </w:pPr>
      <w:r w:rsidRPr="00D3273B">
        <w:rPr>
          <w:rFonts w:cs="Times New Roman"/>
          <w:bCs/>
          <w:szCs w:val="28"/>
        </w:rPr>
        <w:t>Таким образом, период смягчения рынка рассматривается не просто как возможность сократить издержки, а как стратегическое окно для приведения страховой программы в точное соответствие с аппетитом к риску и для инвестиций в её долгосрочную устойчивость, где страховщики выступают экспертами-партнёрами.</w:t>
      </w:r>
    </w:p>
    <w:p w14:paraId="10635E64" w14:textId="11804577" w:rsidR="000B6B76" w:rsidRPr="00647287" w:rsidRDefault="000B6B76" w:rsidP="000B6B76">
      <w:pPr>
        <w:spacing w:after="0" w:line="276" w:lineRule="auto"/>
        <w:ind w:firstLine="851"/>
        <w:jc w:val="both"/>
        <w:rPr>
          <w:rFonts w:cs="Times New Roman"/>
          <w:bCs/>
          <w:szCs w:val="28"/>
        </w:rPr>
      </w:pPr>
      <w:r w:rsidRPr="00647287">
        <w:rPr>
          <w:rFonts w:cs="Times New Roman"/>
          <w:b/>
          <w:bCs/>
          <w:szCs w:val="28"/>
        </w:rPr>
        <w:t>Источник</w:t>
      </w:r>
      <w:r w:rsidRPr="00647287">
        <w:rPr>
          <w:rFonts w:cs="Times New Roman"/>
          <w:bCs/>
          <w:szCs w:val="28"/>
        </w:rPr>
        <w:t xml:space="preserve">: </w:t>
      </w:r>
      <w:hyperlink r:id="rId10" w:history="1">
        <w:r w:rsidRPr="00ED2184">
          <w:rPr>
            <w:rStyle w:val="ac"/>
          </w:rPr>
          <w:t>https://www.commercialriskonline.com/risk-appetite-key-to-coverage-decisions-as-market-softens-say-swiss-buyers</w:t>
        </w:r>
        <w:r w:rsidRPr="00ED2184">
          <w:rPr>
            <w:rStyle w:val="ac"/>
          </w:rPr>
          <w:t>/</w:t>
        </w:r>
      </w:hyperlink>
      <w:r>
        <w:t xml:space="preserve"> </w:t>
      </w:r>
      <w:r>
        <w:t>30.12.2025</w:t>
      </w:r>
    </w:p>
    <w:p w14:paraId="4F28E83C" w14:textId="77777777" w:rsidR="000B6B76" w:rsidRPr="00647287" w:rsidRDefault="000B6B76" w:rsidP="000B6B76">
      <w:pPr>
        <w:spacing w:after="0" w:line="276" w:lineRule="auto"/>
        <w:ind w:firstLine="851"/>
        <w:jc w:val="both"/>
        <w:rPr>
          <w:rFonts w:cs="Times New Roman"/>
          <w:bCs/>
          <w:szCs w:val="28"/>
        </w:rPr>
      </w:pPr>
    </w:p>
    <w:p w14:paraId="6F6231B1" w14:textId="3EBF08D1" w:rsidR="000B6B76" w:rsidRPr="00274296" w:rsidRDefault="000B6B76" w:rsidP="000B6B76">
      <w:pPr>
        <w:pStyle w:val="1"/>
        <w:spacing w:before="0" w:after="0" w:line="276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  <w:bookmarkStart w:id="5" w:name="_Toc218102643"/>
      <w:r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6</w:t>
      </w:r>
      <w:r w:rsidRPr="00274296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.</w:t>
      </w:r>
      <w:r w:rsidRPr="00274296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ab/>
      </w:r>
      <w:r w:rsidRPr="000B6B76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Рост числа природных катастроф угрожает стабильности финансовых систем – предупреждение IAIS</w:t>
      </w:r>
      <w:bookmarkEnd w:id="5"/>
    </w:p>
    <w:p w14:paraId="22E5E50F" w14:textId="36967FBD" w:rsidR="00253BFB" w:rsidRPr="00253BFB" w:rsidRDefault="00253BFB" w:rsidP="00253BFB">
      <w:pPr>
        <w:tabs>
          <w:tab w:val="left" w:pos="709"/>
        </w:tabs>
        <w:spacing w:after="0" w:line="276" w:lineRule="auto"/>
        <w:ind w:firstLine="851"/>
        <w:jc w:val="both"/>
        <w:rPr>
          <w:rFonts w:cs="Times New Roman"/>
          <w:bCs/>
          <w:szCs w:val="28"/>
        </w:rPr>
      </w:pPr>
      <w:r w:rsidRPr="00253BFB">
        <w:rPr>
          <w:rFonts w:cs="Times New Roman"/>
          <w:bCs/>
          <w:szCs w:val="28"/>
        </w:rPr>
        <w:t xml:space="preserve">Новый Глобальный отчет о страховом рынке (Global Insurance Market Report) Международной ассоциации органов страхового надзора (IAIS) указывает, что </w:t>
      </w:r>
      <w:r>
        <w:rPr>
          <w:rFonts w:cs="Times New Roman"/>
          <w:bCs/>
          <w:szCs w:val="28"/>
        </w:rPr>
        <w:t>страховой разрыв</w:t>
      </w:r>
      <w:r w:rsidRPr="00253BFB">
        <w:rPr>
          <w:rFonts w:cs="Times New Roman"/>
          <w:bCs/>
          <w:szCs w:val="28"/>
        </w:rPr>
        <w:t xml:space="preserve"> в покрытии убытков от природных катастроф (</w:t>
      </w:r>
      <w:proofErr w:type="spellStart"/>
      <w:r w:rsidRPr="00253BFB">
        <w:rPr>
          <w:rFonts w:cs="Times New Roman"/>
          <w:bCs/>
          <w:szCs w:val="28"/>
        </w:rPr>
        <w:t>natural</w:t>
      </w:r>
      <w:proofErr w:type="spellEnd"/>
      <w:r w:rsidRPr="00253BFB">
        <w:rPr>
          <w:rFonts w:cs="Times New Roman"/>
          <w:bCs/>
          <w:szCs w:val="28"/>
        </w:rPr>
        <w:t xml:space="preserve"> </w:t>
      </w:r>
      <w:proofErr w:type="spellStart"/>
      <w:r w:rsidRPr="00253BFB">
        <w:rPr>
          <w:rFonts w:cs="Times New Roman"/>
          <w:bCs/>
          <w:szCs w:val="28"/>
        </w:rPr>
        <w:t>catastrophe</w:t>
      </w:r>
      <w:proofErr w:type="spellEnd"/>
      <w:r w:rsidRPr="00253BFB">
        <w:rPr>
          <w:rFonts w:cs="Times New Roman"/>
          <w:bCs/>
          <w:szCs w:val="28"/>
        </w:rPr>
        <w:t xml:space="preserve"> </w:t>
      </w:r>
      <w:proofErr w:type="spellStart"/>
      <w:r w:rsidRPr="00253BFB">
        <w:rPr>
          <w:rFonts w:cs="Times New Roman"/>
          <w:bCs/>
          <w:szCs w:val="28"/>
        </w:rPr>
        <w:t>protection</w:t>
      </w:r>
      <w:proofErr w:type="spellEnd"/>
      <w:r w:rsidRPr="00253BFB">
        <w:rPr>
          <w:rFonts w:cs="Times New Roman"/>
          <w:bCs/>
          <w:szCs w:val="28"/>
        </w:rPr>
        <w:t xml:space="preserve"> </w:t>
      </w:r>
      <w:proofErr w:type="spellStart"/>
      <w:r w:rsidRPr="00253BFB">
        <w:rPr>
          <w:rFonts w:cs="Times New Roman"/>
          <w:bCs/>
          <w:szCs w:val="28"/>
        </w:rPr>
        <w:t>gap</w:t>
      </w:r>
      <w:proofErr w:type="spellEnd"/>
      <w:r w:rsidRPr="00253BFB">
        <w:rPr>
          <w:rFonts w:cs="Times New Roman"/>
          <w:bCs/>
          <w:szCs w:val="28"/>
        </w:rPr>
        <w:t>) представляют серьезную угрозу для финансовой стабильности, особенно в странах с формирующимся рынком и развивающихся экономиках.</w:t>
      </w:r>
    </w:p>
    <w:p w14:paraId="24FEF70B" w14:textId="67784DF6" w:rsidR="00253BFB" w:rsidRPr="00253BFB" w:rsidRDefault="00253BFB" w:rsidP="00253BFB">
      <w:pPr>
        <w:tabs>
          <w:tab w:val="left" w:pos="709"/>
        </w:tabs>
        <w:spacing w:after="0" w:line="276" w:lineRule="auto"/>
        <w:ind w:firstLine="851"/>
        <w:jc w:val="both"/>
        <w:rPr>
          <w:rFonts w:cs="Times New Roman"/>
          <w:bCs/>
          <w:szCs w:val="28"/>
        </w:rPr>
      </w:pPr>
      <w:r w:rsidRPr="00253BFB">
        <w:rPr>
          <w:rFonts w:cs="Times New Roman"/>
          <w:bCs/>
          <w:szCs w:val="28"/>
        </w:rPr>
        <w:t xml:space="preserve">Суть проблемы заключается в том, что значительная часть колоссальных экономических потерь от стихийных бедствий остается </w:t>
      </w:r>
      <w:r>
        <w:rPr>
          <w:rFonts w:cs="Times New Roman"/>
          <w:bCs/>
          <w:szCs w:val="28"/>
        </w:rPr>
        <w:t>незастрахованной</w:t>
      </w:r>
      <w:r w:rsidRPr="00253BFB">
        <w:rPr>
          <w:rFonts w:cs="Times New Roman"/>
          <w:bCs/>
          <w:szCs w:val="28"/>
        </w:rPr>
        <w:t xml:space="preserve">. Как отмечается в отчете, в 2024 году не менее 57% глобальных экономических убытков от таких событий не были застрахованы. «Природные катастрофы становятся все более частыми и суровыми, при этом значительная часть экономических потерь остается незастрахованной», </w:t>
      </w:r>
      <w:r w:rsidR="006D36AE">
        <w:rPr>
          <w:rFonts w:cs="Times New Roman"/>
          <w:bCs/>
          <w:szCs w:val="28"/>
        </w:rPr>
        <w:t>–</w:t>
      </w:r>
      <w:r w:rsidRPr="00253BFB">
        <w:rPr>
          <w:rFonts w:cs="Times New Roman"/>
          <w:bCs/>
          <w:szCs w:val="28"/>
        </w:rPr>
        <w:t xml:space="preserve"> заявил председатель исполнительного комитета IAIS Шигеру </w:t>
      </w:r>
      <w:proofErr w:type="spellStart"/>
      <w:r w:rsidRPr="00253BFB">
        <w:rPr>
          <w:rFonts w:cs="Times New Roman"/>
          <w:bCs/>
          <w:szCs w:val="28"/>
        </w:rPr>
        <w:t>Ариизуми</w:t>
      </w:r>
      <w:proofErr w:type="spellEnd"/>
      <w:r w:rsidRPr="00253BFB">
        <w:rPr>
          <w:rFonts w:cs="Times New Roman"/>
          <w:bCs/>
          <w:szCs w:val="28"/>
        </w:rPr>
        <w:t>.</w:t>
      </w:r>
    </w:p>
    <w:p w14:paraId="277FB94C" w14:textId="77777777" w:rsidR="00253BFB" w:rsidRPr="00253BFB" w:rsidRDefault="00253BFB" w:rsidP="00253BFB">
      <w:pPr>
        <w:tabs>
          <w:tab w:val="left" w:pos="709"/>
        </w:tabs>
        <w:spacing w:after="0" w:line="276" w:lineRule="auto"/>
        <w:ind w:firstLine="851"/>
        <w:jc w:val="both"/>
        <w:rPr>
          <w:rFonts w:cs="Times New Roman"/>
          <w:bCs/>
          <w:szCs w:val="28"/>
        </w:rPr>
      </w:pPr>
      <w:r w:rsidRPr="00253BFB">
        <w:rPr>
          <w:rFonts w:cs="Times New Roman"/>
          <w:bCs/>
          <w:szCs w:val="28"/>
        </w:rPr>
        <w:lastRenderedPageBreak/>
        <w:t xml:space="preserve">IAIS предупреждает, что эта ситуация подвергает экономики повышенным рискам и создает нагрузку на финансовые системы. В частности, снижение </w:t>
      </w:r>
      <w:proofErr w:type="spellStart"/>
      <w:r w:rsidRPr="00253BFB">
        <w:rPr>
          <w:rFonts w:cs="Times New Roman"/>
          <w:bCs/>
          <w:szCs w:val="28"/>
        </w:rPr>
        <w:t>страхуемости</w:t>
      </w:r>
      <w:proofErr w:type="spellEnd"/>
      <w:r w:rsidRPr="00253BFB">
        <w:rPr>
          <w:rFonts w:cs="Times New Roman"/>
          <w:bCs/>
          <w:szCs w:val="28"/>
        </w:rPr>
        <w:t xml:space="preserve"> активов, выступающих обеспечением по банковским кредитам, может в будущем привести к системным рискам и финансовой нестабильности.</w:t>
      </w:r>
    </w:p>
    <w:p w14:paraId="5D4E2BB2" w14:textId="6F0FEEAE" w:rsidR="00253BFB" w:rsidRPr="00253BFB" w:rsidRDefault="00253BFB" w:rsidP="00253BFB">
      <w:pPr>
        <w:tabs>
          <w:tab w:val="left" w:pos="709"/>
        </w:tabs>
        <w:spacing w:after="0" w:line="276" w:lineRule="auto"/>
        <w:ind w:firstLine="851"/>
        <w:jc w:val="both"/>
        <w:rPr>
          <w:rFonts w:cs="Times New Roman"/>
          <w:bCs/>
          <w:szCs w:val="28"/>
        </w:rPr>
      </w:pPr>
      <w:r w:rsidRPr="00253BFB">
        <w:rPr>
          <w:rFonts w:cs="Times New Roman"/>
          <w:bCs/>
          <w:szCs w:val="28"/>
        </w:rPr>
        <w:t xml:space="preserve">Как показывают </w:t>
      </w:r>
      <w:r w:rsidR="006D36AE">
        <w:rPr>
          <w:rFonts w:cs="Times New Roman"/>
          <w:bCs/>
          <w:szCs w:val="28"/>
        </w:rPr>
        <w:t xml:space="preserve">рассмотренные в отчете </w:t>
      </w:r>
      <w:r w:rsidRPr="00253BFB">
        <w:rPr>
          <w:rFonts w:cs="Times New Roman"/>
          <w:bCs/>
          <w:szCs w:val="28"/>
        </w:rPr>
        <w:t xml:space="preserve">кейсы, последствия носят </w:t>
      </w:r>
      <w:r w:rsidR="006D36AE">
        <w:rPr>
          <w:rFonts w:cs="Times New Roman"/>
          <w:bCs/>
          <w:szCs w:val="28"/>
        </w:rPr>
        <w:t>нарастающий</w:t>
      </w:r>
      <w:r w:rsidRPr="00253BFB">
        <w:rPr>
          <w:rFonts w:cs="Times New Roman"/>
          <w:bCs/>
          <w:szCs w:val="28"/>
        </w:rPr>
        <w:t xml:space="preserve"> характер. Удар по ключевым секторам </w:t>
      </w:r>
      <w:r w:rsidR="006D36AE">
        <w:rPr>
          <w:rFonts w:cs="Times New Roman"/>
          <w:bCs/>
          <w:szCs w:val="28"/>
        </w:rPr>
        <w:t>–</w:t>
      </w:r>
      <w:r w:rsidRPr="00253BFB">
        <w:rPr>
          <w:rFonts w:cs="Times New Roman"/>
          <w:bCs/>
          <w:szCs w:val="28"/>
        </w:rPr>
        <w:t xml:space="preserve"> сельскому хозяйству, жилищному строительству, инфраструктуре </w:t>
      </w:r>
      <w:r w:rsidR="006D36AE">
        <w:rPr>
          <w:rFonts w:cs="Times New Roman"/>
          <w:bCs/>
          <w:szCs w:val="28"/>
        </w:rPr>
        <w:t>–</w:t>
      </w:r>
      <w:r w:rsidRPr="00253BFB">
        <w:rPr>
          <w:rFonts w:cs="Times New Roman"/>
          <w:bCs/>
          <w:szCs w:val="28"/>
        </w:rPr>
        <w:t xml:space="preserve"> обрушивает цепочки занятости, подрывает доходы населения и истощает государственные бюджеты. Наиболее уязвимые группы населения сталкиваются с дополнительными трудностями, включая вынужденное переселение, рост бедности и более медленное восстановление, что усугубляет социальное неравенство.</w:t>
      </w:r>
    </w:p>
    <w:p w14:paraId="65B7BDED" w14:textId="394F4B40" w:rsidR="00253BFB" w:rsidRPr="00253BFB" w:rsidRDefault="00253BFB" w:rsidP="00253BFB">
      <w:pPr>
        <w:tabs>
          <w:tab w:val="left" w:pos="709"/>
        </w:tabs>
        <w:spacing w:after="0" w:line="276" w:lineRule="auto"/>
        <w:ind w:firstLine="851"/>
        <w:jc w:val="both"/>
        <w:rPr>
          <w:rFonts w:cs="Times New Roman"/>
          <w:bCs/>
          <w:szCs w:val="28"/>
        </w:rPr>
      </w:pPr>
      <w:r w:rsidRPr="00253BFB">
        <w:rPr>
          <w:rFonts w:cs="Times New Roman"/>
          <w:bCs/>
          <w:szCs w:val="28"/>
        </w:rPr>
        <w:t xml:space="preserve">IAIS подчеркивает, что существующие механизмы защиты </w:t>
      </w:r>
      <w:r w:rsidR="006D36AE">
        <w:rPr>
          <w:rFonts w:cs="Times New Roman"/>
          <w:bCs/>
          <w:szCs w:val="28"/>
        </w:rPr>
        <w:t>–</w:t>
      </w:r>
      <w:r w:rsidRPr="00253BFB">
        <w:rPr>
          <w:rFonts w:cs="Times New Roman"/>
          <w:bCs/>
          <w:szCs w:val="28"/>
        </w:rPr>
        <w:t xml:space="preserve"> страховые выплаты, перестрахование, государственные программы </w:t>
      </w:r>
      <w:r w:rsidR="006D36AE">
        <w:rPr>
          <w:rFonts w:cs="Times New Roman"/>
          <w:bCs/>
          <w:szCs w:val="28"/>
        </w:rPr>
        <w:t>–</w:t>
      </w:r>
      <w:r w:rsidRPr="00253BFB">
        <w:rPr>
          <w:rFonts w:cs="Times New Roman"/>
          <w:bCs/>
          <w:szCs w:val="28"/>
        </w:rPr>
        <w:t xml:space="preserve"> жизненно важны, но распределены по миру крайне неравномерно. «Эта неравномерная доступность вызывает серьезную озабоченность, </w:t>
      </w:r>
      <w:r w:rsidR="006D36AE">
        <w:rPr>
          <w:rFonts w:cs="Times New Roman"/>
          <w:bCs/>
          <w:szCs w:val="28"/>
        </w:rPr>
        <w:t>–</w:t>
      </w:r>
      <w:r w:rsidRPr="00253BFB">
        <w:rPr>
          <w:rFonts w:cs="Times New Roman"/>
          <w:bCs/>
          <w:szCs w:val="28"/>
        </w:rPr>
        <w:t xml:space="preserve"> говорится в отчете. </w:t>
      </w:r>
      <w:r w:rsidR="006D36AE">
        <w:rPr>
          <w:rFonts w:cs="Times New Roman"/>
          <w:bCs/>
          <w:szCs w:val="28"/>
        </w:rPr>
        <w:t>–</w:t>
      </w:r>
      <w:r w:rsidRPr="00253BFB">
        <w:rPr>
          <w:rFonts w:cs="Times New Roman"/>
          <w:bCs/>
          <w:szCs w:val="28"/>
        </w:rPr>
        <w:t xml:space="preserve"> Дальнейшее сокращение страхового покрытия в будущем может увеличить системные риски».</w:t>
      </w:r>
    </w:p>
    <w:p w14:paraId="347EC745" w14:textId="4741E125" w:rsidR="00253BFB" w:rsidRPr="00253BFB" w:rsidRDefault="00253BFB" w:rsidP="00253BFB">
      <w:pPr>
        <w:tabs>
          <w:tab w:val="left" w:pos="709"/>
        </w:tabs>
        <w:spacing w:after="0" w:line="276" w:lineRule="auto"/>
        <w:ind w:firstLine="851"/>
        <w:jc w:val="both"/>
        <w:rPr>
          <w:rFonts w:cs="Times New Roman"/>
          <w:bCs/>
          <w:szCs w:val="28"/>
        </w:rPr>
      </w:pPr>
      <w:r w:rsidRPr="00253BFB">
        <w:rPr>
          <w:rFonts w:cs="Times New Roman"/>
          <w:bCs/>
          <w:szCs w:val="28"/>
        </w:rPr>
        <w:t xml:space="preserve">В связи с этим Ассоциация призывает к безотлагательным и скоординированным глобальным действиям. «Без скоординированных глобальных действий эти пробелы могут перерасти в системные уязвимости, потенциально угрожая финансовой стабильности в наиболее уязвимых регионах», </w:t>
      </w:r>
      <w:r w:rsidR="006D36AE">
        <w:rPr>
          <w:rFonts w:cs="Times New Roman"/>
          <w:bCs/>
          <w:szCs w:val="28"/>
        </w:rPr>
        <w:t>–</w:t>
      </w:r>
      <w:r w:rsidRPr="00253BFB">
        <w:rPr>
          <w:rFonts w:cs="Times New Roman"/>
          <w:bCs/>
          <w:szCs w:val="28"/>
        </w:rPr>
        <w:t xml:space="preserve"> заявил генеральный секретарь IAIS Джонатан Диксон.</w:t>
      </w:r>
    </w:p>
    <w:p w14:paraId="2A1228E8" w14:textId="77777777" w:rsidR="00253BFB" w:rsidRPr="00253BFB" w:rsidRDefault="00253BFB" w:rsidP="00253BFB">
      <w:pPr>
        <w:tabs>
          <w:tab w:val="left" w:pos="709"/>
        </w:tabs>
        <w:spacing w:after="0" w:line="276" w:lineRule="auto"/>
        <w:ind w:firstLine="851"/>
        <w:jc w:val="both"/>
        <w:rPr>
          <w:rFonts w:cs="Times New Roman"/>
          <w:bCs/>
          <w:szCs w:val="28"/>
        </w:rPr>
      </w:pPr>
      <w:r w:rsidRPr="00253BFB">
        <w:rPr>
          <w:rFonts w:cs="Times New Roman"/>
          <w:bCs/>
          <w:szCs w:val="28"/>
        </w:rPr>
        <w:t>В качестве ключевых приоритетов дальнейшей работы IAIS выделяет развитие сбора данных, содействие глобальному сотрудничеству, а также предоставление практических руководств и обмен знаниями для лиц, определяющих политику, и надзорных органов.</w:t>
      </w:r>
    </w:p>
    <w:p w14:paraId="53C0CEC3" w14:textId="037A3384" w:rsidR="00253BFB" w:rsidRPr="00253BFB" w:rsidRDefault="00253BFB" w:rsidP="00253BFB">
      <w:pPr>
        <w:tabs>
          <w:tab w:val="left" w:pos="709"/>
        </w:tabs>
        <w:spacing w:after="0" w:line="276" w:lineRule="auto"/>
        <w:ind w:firstLine="851"/>
        <w:jc w:val="both"/>
        <w:rPr>
          <w:rFonts w:cs="Times New Roman"/>
          <w:bCs/>
          <w:szCs w:val="28"/>
        </w:rPr>
      </w:pPr>
      <w:r w:rsidRPr="00253BFB">
        <w:rPr>
          <w:rFonts w:cs="Times New Roman"/>
          <w:bCs/>
          <w:szCs w:val="28"/>
        </w:rPr>
        <w:t>В отчете делается вывод: Реализация и долгосрочный успех программ страхования от природных катастроф зависят от множества факторов: фискальных возможностей государства, уровня проникновения страхования, адекватного ценообразования и общего развития рынка. Устойчивость этих же факторов, в свою очередь, подвергается риску из-за самих катастроф. Для эффективного внедрения и обеспечения устойчивости решений, направленных на ликвидацию пробелов в защите, необходимо постоянное сотрудничество ключевых заинтересованных сторон на этапах разработки, внедрения и обеспечения устойчивой непрерывности.</w:t>
      </w:r>
    </w:p>
    <w:p w14:paraId="226ED162" w14:textId="057362CD" w:rsidR="000B6B76" w:rsidRDefault="00253BFB" w:rsidP="00253BFB">
      <w:pPr>
        <w:tabs>
          <w:tab w:val="left" w:pos="709"/>
        </w:tabs>
        <w:spacing w:after="0" w:line="276" w:lineRule="auto"/>
        <w:ind w:firstLine="851"/>
        <w:jc w:val="both"/>
        <w:rPr>
          <w:rFonts w:cs="Times New Roman"/>
          <w:bCs/>
          <w:szCs w:val="28"/>
        </w:rPr>
      </w:pPr>
      <w:r w:rsidRPr="00253BFB">
        <w:rPr>
          <w:rFonts w:cs="Times New Roman"/>
          <w:bCs/>
          <w:szCs w:val="28"/>
        </w:rPr>
        <w:t xml:space="preserve">Таким образом, отчет IAIS служит не только констатацией растущей опасности, но и четким призывом рассматривать страховую защиту от </w:t>
      </w:r>
      <w:r w:rsidRPr="00253BFB">
        <w:rPr>
          <w:rFonts w:cs="Times New Roman"/>
          <w:bCs/>
          <w:szCs w:val="28"/>
        </w:rPr>
        <w:lastRenderedPageBreak/>
        <w:t>природных катастроф не как коммерческую услугу, а как критически важный элемент глобальной финансовой устойчивости и социальной стабильности.</w:t>
      </w:r>
    </w:p>
    <w:p w14:paraId="1B72D4B6" w14:textId="3A384130" w:rsidR="006D36AE" w:rsidRPr="00647287" w:rsidRDefault="006D36AE" w:rsidP="006D36AE">
      <w:pPr>
        <w:spacing w:after="0" w:line="276" w:lineRule="auto"/>
        <w:ind w:firstLine="851"/>
        <w:jc w:val="both"/>
        <w:rPr>
          <w:rFonts w:cs="Times New Roman"/>
          <w:bCs/>
          <w:szCs w:val="28"/>
        </w:rPr>
      </w:pPr>
      <w:r w:rsidRPr="00647287">
        <w:rPr>
          <w:rFonts w:cs="Times New Roman"/>
          <w:b/>
          <w:bCs/>
          <w:szCs w:val="28"/>
        </w:rPr>
        <w:t>Источник</w:t>
      </w:r>
      <w:r w:rsidRPr="00647287">
        <w:rPr>
          <w:rFonts w:cs="Times New Roman"/>
          <w:bCs/>
          <w:szCs w:val="28"/>
        </w:rPr>
        <w:t xml:space="preserve">: </w:t>
      </w:r>
      <w:hyperlink r:id="rId11" w:history="1">
        <w:r w:rsidRPr="00ED2184">
          <w:rPr>
            <w:rStyle w:val="ac"/>
          </w:rPr>
          <w:t>https://www.commercialriskonline.com/iais-warns-over-financial-stability-risk-from-rising-nat-cats/</w:t>
        </w:r>
      </w:hyperlink>
      <w:r>
        <w:t xml:space="preserve"> </w:t>
      </w:r>
      <w:r>
        <w:t>30.12.2025</w:t>
      </w:r>
    </w:p>
    <w:p w14:paraId="1F5718B8" w14:textId="77777777" w:rsidR="006D36AE" w:rsidRPr="00647287" w:rsidRDefault="006D36AE" w:rsidP="006D36AE">
      <w:pPr>
        <w:spacing w:after="0" w:line="276" w:lineRule="auto"/>
        <w:ind w:firstLine="851"/>
        <w:jc w:val="both"/>
        <w:rPr>
          <w:rFonts w:cs="Times New Roman"/>
          <w:bCs/>
          <w:szCs w:val="28"/>
        </w:rPr>
      </w:pPr>
    </w:p>
    <w:p w14:paraId="6B5C1313" w14:textId="3DEE02E3" w:rsidR="006D36AE" w:rsidRPr="00274296" w:rsidRDefault="006D36AE" w:rsidP="006D36AE">
      <w:pPr>
        <w:pStyle w:val="1"/>
        <w:spacing w:before="0" w:after="0" w:line="276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  <w:bookmarkStart w:id="6" w:name="_Toc218102644"/>
      <w:r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7</w:t>
      </w:r>
      <w:r w:rsidRPr="00274296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.</w:t>
      </w:r>
      <w:r w:rsidRPr="00274296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ab/>
      </w:r>
      <w:r w:rsidR="00A15A7D" w:rsidRPr="00A15A7D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Скрытые риски отслеживания данных</w:t>
      </w:r>
      <w:r w:rsidR="00A15A7D" w:rsidRPr="00A15A7D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: как</w:t>
      </w:r>
      <w:r w:rsidR="00A15A7D" w:rsidRPr="00A15A7D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 xml:space="preserve"> справляться с проблемами конфиденциальности на фоне роста судебных исков</w:t>
      </w:r>
      <w:bookmarkEnd w:id="6"/>
    </w:p>
    <w:p w14:paraId="50658A55" w14:textId="77777777" w:rsidR="00A15A7D" w:rsidRPr="00A15A7D" w:rsidRDefault="00A15A7D" w:rsidP="00A15A7D">
      <w:pPr>
        <w:tabs>
          <w:tab w:val="left" w:pos="709"/>
        </w:tabs>
        <w:spacing w:after="0" w:line="276" w:lineRule="auto"/>
        <w:ind w:firstLine="851"/>
        <w:jc w:val="both"/>
        <w:rPr>
          <w:rFonts w:cs="Times New Roman"/>
          <w:bCs/>
          <w:szCs w:val="28"/>
        </w:rPr>
      </w:pPr>
      <w:r w:rsidRPr="00A15A7D">
        <w:rPr>
          <w:rFonts w:cs="Times New Roman"/>
          <w:bCs/>
          <w:szCs w:val="28"/>
        </w:rPr>
        <w:t>В условиях стремительного развития цифрового маркетинга компании всё активнее используют инструменты отслеживания пользовательского поведения, такие как пиксели и аналитические скрипты. Эти инструменты позволяют собирать данные о посещениях, кликах и конверсиях для персонализации рекламы и повышения эффективности кампаний. Однако расширение таких практик всё чаще вступает в противоречие с нормами законодательства о защите данных. В первую очередь речь идёт о необходимости получения явного, информированного и свободного согласия пользователей (как того требует GDPR в ЕС) и контроле за передачей информации третьим сторонам.</w:t>
      </w:r>
    </w:p>
    <w:p w14:paraId="4F3BBB05" w14:textId="77777777" w:rsidR="00A15A7D" w:rsidRPr="00A15A7D" w:rsidRDefault="00A15A7D" w:rsidP="00A15A7D">
      <w:pPr>
        <w:tabs>
          <w:tab w:val="left" w:pos="709"/>
        </w:tabs>
        <w:spacing w:after="0" w:line="276" w:lineRule="auto"/>
        <w:ind w:firstLine="851"/>
        <w:jc w:val="both"/>
        <w:rPr>
          <w:rFonts w:cs="Times New Roman"/>
          <w:bCs/>
          <w:szCs w:val="28"/>
        </w:rPr>
      </w:pPr>
      <w:r w:rsidRPr="00A15A7D">
        <w:rPr>
          <w:rFonts w:cs="Times New Roman"/>
          <w:bCs/>
          <w:szCs w:val="28"/>
        </w:rPr>
        <w:t>На практике многие организации не до конца представляют себе конфигурацию используемых трекинг-инструментов и реальные потоках данных, что зачастую приводит к несанкционированному сбору и обработке персональной информации.</w:t>
      </w:r>
    </w:p>
    <w:p w14:paraId="48B5BBB6" w14:textId="77777777" w:rsidR="00A15A7D" w:rsidRPr="00A15A7D" w:rsidRDefault="00A15A7D" w:rsidP="00A15A7D">
      <w:pPr>
        <w:tabs>
          <w:tab w:val="left" w:pos="709"/>
        </w:tabs>
        <w:spacing w:after="0" w:line="276" w:lineRule="auto"/>
        <w:ind w:firstLine="851"/>
        <w:jc w:val="both"/>
        <w:rPr>
          <w:rFonts w:cs="Times New Roman"/>
          <w:bCs/>
          <w:szCs w:val="28"/>
        </w:rPr>
      </w:pPr>
      <w:r w:rsidRPr="00A15A7D">
        <w:rPr>
          <w:rFonts w:cs="Times New Roman"/>
          <w:bCs/>
          <w:szCs w:val="28"/>
        </w:rPr>
        <w:t xml:space="preserve">При этом в ряде стран наблюдается рост судебных исков. Особенно активно этот тренд развивается в США, где истцы пытаются применять к цифровым трекерам устаревшие законы о конфиденциальности. Значительная часть претензий касается сайтов медицинских учреждений, где звучат обвинения в передаче конфиденциальной медицинской информации (PHI) внешним платформам, таким как </w:t>
      </w:r>
      <w:proofErr w:type="spellStart"/>
      <w:r w:rsidRPr="00A15A7D">
        <w:rPr>
          <w:rFonts w:cs="Times New Roman"/>
          <w:bCs/>
          <w:szCs w:val="28"/>
        </w:rPr>
        <w:t>Meta</w:t>
      </w:r>
      <w:proofErr w:type="spellEnd"/>
      <w:r w:rsidRPr="00A15A7D">
        <w:rPr>
          <w:rFonts w:cs="Times New Roman"/>
          <w:bCs/>
          <w:szCs w:val="28"/>
        </w:rPr>
        <w:t>. Даже если такие дела не создают судебных прецедентов, они влекут за собой существенные финансовые и репутационные издержки для компаний.</w:t>
      </w:r>
    </w:p>
    <w:p w14:paraId="334BC81E" w14:textId="77777777" w:rsidR="00A15A7D" w:rsidRPr="00A15A7D" w:rsidRDefault="00A15A7D" w:rsidP="00A15A7D">
      <w:pPr>
        <w:tabs>
          <w:tab w:val="left" w:pos="709"/>
        </w:tabs>
        <w:spacing w:after="0" w:line="276" w:lineRule="auto"/>
        <w:ind w:firstLine="851"/>
        <w:jc w:val="both"/>
        <w:rPr>
          <w:rFonts w:cs="Times New Roman"/>
          <w:bCs/>
          <w:szCs w:val="28"/>
        </w:rPr>
      </w:pPr>
      <w:r w:rsidRPr="00A15A7D">
        <w:rPr>
          <w:rFonts w:cs="Times New Roman"/>
          <w:bCs/>
          <w:szCs w:val="28"/>
        </w:rPr>
        <w:t xml:space="preserve">Европейские регуляторы также ужесточают позицию: выносятся штрафы за некорректную настройку пикселей, а модели выбора, не оставляющие пользователю реальной альтернативы (как в случае со схемой </w:t>
      </w:r>
      <w:proofErr w:type="spellStart"/>
      <w:r w:rsidRPr="00A15A7D">
        <w:rPr>
          <w:rFonts w:cs="Times New Roman"/>
          <w:bCs/>
          <w:szCs w:val="28"/>
        </w:rPr>
        <w:t>Meta</w:t>
      </w:r>
      <w:proofErr w:type="spellEnd"/>
      <w:r w:rsidRPr="00A15A7D">
        <w:rPr>
          <w:rFonts w:cs="Times New Roman"/>
          <w:bCs/>
          <w:szCs w:val="28"/>
        </w:rPr>
        <w:t xml:space="preserve"> «плати или соглашайся», оштрафованной по Digital Markets Act), расцениваются как нарушение принципов свободного согласия.</w:t>
      </w:r>
    </w:p>
    <w:p w14:paraId="73B6EF74" w14:textId="77777777" w:rsidR="00A15A7D" w:rsidRPr="00A15A7D" w:rsidRDefault="00A15A7D" w:rsidP="00A15A7D">
      <w:pPr>
        <w:tabs>
          <w:tab w:val="left" w:pos="709"/>
        </w:tabs>
        <w:spacing w:after="0" w:line="276" w:lineRule="auto"/>
        <w:ind w:firstLine="851"/>
        <w:jc w:val="both"/>
        <w:rPr>
          <w:rFonts w:cs="Times New Roman"/>
          <w:bCs/>
          <w:szCs w:val="28"/>
        </w:rPr>
      </w:pPr>
      <w:r w:rsidRPr="00A15A7D">
        <w:rPr>
          <w:rFonts w:cs="Times New Roman"/>
          <w:bCs/>
          <w:szCs w:val="28"/>
        </w:rPr>
        <w:t xml:space="preserve">В этой связи, как отмечает автор, ключевую роль в управлении рисками должны играть риск-менеджеры, координируя действия юридического, маркетингового и IT-департаментов. Организациям необходимо выстраивать зрелое управление приватностью. В статье предлагаются практические шаги: </w:t>
      </w:r>
      <w:r w:rsidRPr="00A15A7D">
        <w:rPr>
          <w:rFonts w:cs="Times New Roman"/>
          <w:bCs/>
          <w:szCs w:val="28"/>
        </w:rPr>
        <w:lastRenderedPageBreak/>
        <w:t>картирование данных и экосистемы партнёров, проведение оценок влияния, актуализация внутренних политик, обучение сотрудников и мониторинг законодательных изменений.</w:t>
      </w:r>
    </w:p>
    <w:p w14:paraId="71491335" w14:textId="79791301" w:rsidR="006D36AE" w:rsidRDefault="00A15A7D" w:rsidP="00A15A7D">
      <w:pPr>
        <w:tabs>
          <w:tab w:val="left" w:pos="709"/>
        </w:tabs>
        <w:spacing w:after="0" w:line="276" w:lineRule="auto"/>
        <w:ind w:firstLine="851"/>
        <w:jc w:val="both"/>
        <w:rPr>
          <w:rFonts w:cs="Times New Roman"/>
          <w:bCs/>
          <w:szCs w:val="28"/>
        </w:rPr>
      </w:pPr>
      <w:r w:rsidRPr="00A15A7D">
        <w:rPr>
          <w:rFonts w:cs="Times New Roman"/>
          <w:bCs/>
          <w:szCs w:val="28"/>
        </w:rPr>
        <w:t xml:space="preserve">Главный вывод заключается в том, что задача </w:t>
      </w:r>
      <w:r w:rsidR="00D97181">
        <w:rPr>
          <w:rFonts w:cs="Times New Roman"/>
          <w:bCs/>
          <w:szCs w:val="28"/>
        </w:rPr>
        <w:t>–</w:t>
      </w:r>
      <w:r w:rsidRPr="00A15A7D">
        <w:rPr>
          <w:rFonts w:cs="Times New Roman"/>
          <w:bCs/>
          <w:szCs w:val="28"/>
        </w:rPr>
        <w:t xml:space="preserve"> не отказаться от </w:t>
      </w:r>
      <w:r>
        <w:rPr>
          <w:rFonts w:cs="Times New Roman"/>
          <w:bCs/>
          <w:szCs w:val="28"/>
        </w:rPr>
        <w:t>и</w:t>
      </w:r>
      <w:r w:rsidRPr="00A15A7D">
        <w:rPr>
          <w:rFonts w:cs="Times New Roman"/>
          <w:bCs/>
          <w:szCs w:val="28"/>
        </w:rPr>
        <w:t>нструментов для работы с данными, а использовать их ответственно и корректно. Это позволит сохранить ценность подходов, основанных на данных, избегая при этом дорогостоящих судебных разбирательств и репутационного ущерба. Страховые компании, такие как Zurich, помогают клиентам ориентироваться в этом быстро меняющемся ландшафте рисков.</w:t>
      </w:r>
    </w:p>
    <w:p w14:paraId="3E5E048B" w14:textId="59781D95" w:rsidR="00A15A7D" w:rsidRPr="00647287" w:rsidRDefault="00A15A7D" w:rsidP="00A15A7D">
      <w:pPr>
        <w:spacing w:after="0" w:line="276" w:lineRule="auto"/>
        <w:ind w:firstLine="851"/>
        <w:jc w:val="both"/>
        <w:rPr>
          <w:rFonts w:cs="Times New Roman"/>
          <w:bCs/>
          <w:szCs w:val="28"/>
        </w:rPr>
      </w:pPr>
      <w:r w:rsidRPr="00647287">
        <w:rPr>
          <w:rFonts w:cs="Times New Roman"/>
          <w:b/>
          <w:bCs/>
          <w:szCs w:val="28"/>
        </w:rPr>
        <w:t>Источник</w:t>
      </w:r>
      <w:r w:rsidRPr="00647287">
        <w:rPr>
          <w:rFonts w:cs="Times New Roman"/>
          <w:bCs/>
          <w:szCs w:val="28"/>
        </w:rPr>
        <w:t xml:space="preserve">: </w:t>
      </w:r>
      <w:hyperlink r:id="rId12" w:history="1">
        <w:r w:rsidRPr="00ED2184">
          <w:rPr>
            <w:rStyle w:val="ac"/>
          </w:rPr>
          <w:t>https://www.commercialriskonline.com/the-hidden-risks-of-data-tracking-navigating-privacy-concerns-amid-rising-litigation</w:t>
        </w:r>
      </w:hyperlink>
      <w:r w:rsidRPr="00A15A7D">
        <w:t>/</w:t>
      </w:r>
      <w:r>
        <w:t xml:space="preserve"> 30.12.2025</w:t>
      </w:r>
    </w:p>
    <w:p w14:paraId="37E11F7D" w14:textId="77777777" w:rsidR="00A15A7D" w:rsidRPr="00647287" w:rsidRDefault="00A15A7D" w:rsidP="00A15A7D">
      <w:pPr>
        <w:spacing w:after="0" w:line="276" w:lineRule="auto"/>
        <w:ind w:firstLine="851"/>
        <w:jc w:val="both"/>
        <w:rPr>
          <w:rFonts w:cs="Times New Roman"/>
          <w:bCs/>
          <w:szCs w:val="28"/>
        </w:rPr>
      </w:pPr>
    </w:p>
    <w:p w14:paraId="5281D3D4" w14:textId="50FAD890" w:rsidR="00A15A7D" w:rsidRDefault="00A15A7D" w:rsidP="00A15A7D">
      <w:pPr>
        <w:pStyle w:val="1"/>
        <w:spacing w:before="0" w:after="0" w:line="276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  <w:bookmarkStart w:id="7" w:name="_Toc218102645"/>
      <w:r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8</w:t>
      </w:r>
      <w:r w:rsidRPr="00274296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.</w:t>
      </w:r>
      <w:r w:rsidRPr="00274296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ab/>
      </w:r>
      <w:r w:rsidRPr="00A15A7D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 xml:space="preserve">Риск-менеджеры должны стать лидерами, а не контролерами </w:t>
      </w:r>
      <w:r w:rsidR="00D97181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–</w:t>
      </w:r>
      <w:r w:rsidRPr="00A15A7D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 xml:space="preserve"> призыв </w:t>
      </w:r>
      <w:proofErr w:type="spellStart"/>
      <w:r w:rsidRPr="00A15A7D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Anra</w:t>
      </w:r>
      <w:bookmarkEnd w:id="7"/>
      <w:proofErr w:type="spellEnd"/>
    </w:p>
    <w:p w14:paraId="31EA45D2" w14:textId="7C59DF35" w:rsidR="00A15A7D" w:rsidRPr="00A15A7D" w:rsidRDefault="00A15A7D" w:rsidP="00A15A7D">
      <w:pPr>
        <w:tabs>
          <w:tab w:val="left" w:pos="709"/>
        </w:tabs>
        <w:spacing w:after="0" w:line="276" w:lineRule="auto"/>
        <w:ind w:firstLine="851"/>
        <w:jc w:val="both"/>
        <w:rPr>
          <w:rFonts w:cs="Times New Roman"/>
          <w:bCs/>
          <w:szCs w:val="28"/>
        </w:rPr>
      </w:pPr>
      <w:r w:rsidRPr="00A15A7D">
        <w:rPr>
          <w:rFonts w:cs="Times New Roman"/>
          <w:bCs/>
          <w:szCs w:val="28"/>
        </w:rPr>
        <w:t>Итальянская ассоциация риск-менеджеров (</w:t>
      </w:r>
      <w:proofErr w:type="spellStart"/>
      <w:r w:rsidRPr="00A15A7D">
        <w:rPr>
          <w:rFonts w:cs="Times New Roman"/>
          <w:bCs/>
          <w:szCs w:val="28"/>
        </w:rPr>
        <w:t>Anra</w:t>
      </w:r>
      <w:proofErr w:type="spellEnd"/>
      <w:r w:rsidRPr="00A15A7D">
        <w:rPr>
          <w:rFonts w:cs="Times New Roman"/>
          <w:bCs/>
          <w:szCs w:val="28"/>
        </w:rPr>
        <w:t xml:space="preserve">) заявила, что традиционные модели управления рисками устарели в эпоху </w:t>
      </w:r>
      <w:proofErr w:type="spellStart"/>
      <w:r w:rsidRPr="00A15A7D">
        <w:rPr>
          <w:rFonts w:cs="Times New Roman"/>
          <w:bCs/>
          <w:szCs w:val="28"/>
        </w:rPr>
        <w:t>поликризиса</w:t>
      </w:r>
      <w:proofErr w:type="spellEnd"/>
      <w:r w:rsidRPr="00A15A7D">
        <w:rPr>
          <w:rFonts w:cs="Times New Roman"/>
          <w:bCs/>
          <w:szCs w:val="28"/>
        </w:rPr>
        <w:t>. На своем конгрессе в Милане ассоциация призвала профессионалов отрасли перейти от роли технических экспертов к роли стратегических лидеров.</w:t>
      </w:r>
    </w:p>
    <w:p w14:paraId="2D950D8B" w14:textId="640F4921" w:rsidR="00A15A7D" w:rsidRPr="00A15A7D" w:rsidRDefault="00A15A7D" w:rsidP="00A15A7D">
      <w:pPr>
        <w:tabs>
          <w:tab w:val="left" w:pos="709"/>
        </w:tabs>
        <w:spacing w:after="0" w:line="276" w:lineRule="auto"/>
        <w:ind w:firstLine="851"/>
        <w:jc w:val="both"/>
        <w:rPr>
          <w:rFonts w:cs="Times New Roman"/>
          <w:bCs/>
          <w:szCs w:val="28"/>
        </w:rPr>
      </w:pPr>
      <w:r w:rsidRPr="00A15A7D">
        <w:rPr>
          <w:rFonts w:cs="Times New Roman"/>
          <w:bCs/>
          <w:szCs w:val="28"/>
        </w:rPr>
        <w:t xml:space="preserve">«В условиях, когда множественные кризисы </w:t>
      </w:r>
      <w:r w:rsidR="00D97181">
        <w:rPr>
          <w:rFonts w:cs="Times New Roman"/>
          <w:bCs/>
          <w:szCs w:val="28"/>
        </w:rPr>
        <w:t>–</w:t>
      </w:r>
      <w:r w:rsidRPr="00A15A7D">
        <w:rPr>
          <w:rFonts w:cs="Times New Roman"/>
          <w:bCs/>
          <w:szCs w:val="28"/>
        </w:rPr>
        <w:t xml:space="preserve"> климатические, технологические, геополитические </w:t>
      </w:r>
      <w:r w:rsidR="00D97181">
        <w:rPr>
          <w:rFonts w:cs="Times New Roman"/>
          <w:bCs/>
          <w:szCs w:val="28"/>
        </w:rPr>
        <w:t>–</w:t>
      </w:r>
      <w:r w:rsidRPr="00A15A7D">
        <w:rPr>
          <w:rFonts w:cs="Times New Roman"/>
          <w:bCs/>
          <w:szCs w:val="28"/>
        </w:rPr>
        <w:t xml:space="preserve"> переплетаются, риск-менеджмент должен стать стратегической функцией, способной вести организации через неопределенность», </w:t>
      </w:r>
      <w:r w:rsidR="00D97181">
        <w:rPr>
          <w:rFonts w:cs="Times New Roman"/>
          <w:bCs/>
          <w:szCs w:val="28"/>
        </w:rPr>
        <w:t>–</w:t>
      </w:r>
      <w:r w:rsidRPr="00A15A7D">
        <w:rPr>
          <w:rFonts w:cs="Times New Roman"/>
          <w:bCs/>
          <w:szCs w:val="28"/>
        </w:rPr>
        <w:t xml:space="preserve"> заявила президент </w:t>
      </w:r>
      <w:proofErr w:type="spellStart"/>
      <w:r w:rsidRPr="00A15A7D">
        <w:rPr>
          <w:rFonts w:cs="Times New Roman"/>
          <w:bCs/>
          <w:szCs w:val="28"/>
        </w:rPr>
        <w:t>Anra</w:t>
      </w:r>
      <w:proofErr w:type="spellEnd"/>
      <w:r w:rsidRPr="00A15A7D">
        <w:rPr>
          <w:rFonts w:cs="Times New Roman"/>
          <w:bCs/>
          <w:szCs w:val="28"/>
        </w:rPr>
        <w:t xml:space="preserve"> Габриэль </w:t>
      </w:r>
      <w:proofErr w:type="spellStart"/>
      <w:r w:rsidRPr="00A15A7D">
        <w:rPr>
          <w:rFonts w:cs="Times New Roman"/>
          <w:bCs/>
          <w:szCs w:val="28"/>
        </w:rPr>
        <w:t>Фрайре</w:t>
      </w:r>
      <w:proofErr w:type="spellEnd"/>
      <w:r w:rsidRPr="00A15A7D">
        <w:rPr>
          <w:rFonts w:cs="Times New Roman"/>
          <w:bCs/>
          <w:szCs w:val="28"/>
        </w:rPr>
        <w:t>.</w:t>
      </w:r>
    </w:p>
    <w:p w14:paraId="7BE735A3" w14:textId="69EBEA29" w:rsidR="00A15A7D" w:rsidRPr="00A15A7D" w:rsidRDefault="00A15A7D" w:rsidP="00A15A7D">
      <w:pPr>
        <w:tabs>
          <w:tab w:val="left" w:pos="709"/>
        </w:tabs>
        <w:spacing w:after="0" w:line="276" w:lineRule="auto"/>
        <w:ind w:firstLine="851"/>
        <w:jc w:val="both"/>
        <w:rPr>
          <w:rFonts w:cs="Times New Roman"/>
          <w:bCs/>
          <w:szCs w:val="28"/>
        </w:rPr>
      </w:pPr>
      <w:r w:rsidRPr="00A15A7D">
        <w:rPr>
          <w:rFonts w:cs="Times New Roman"/>
          <w:bCs/>
          <w:szCs w:val="28"/>
        </w:rPr>
        <w:t xml:space="preserve">Эксперты подчеркивают, что линейная схема «выявил-оценил-обработал» больше не работает. Вместо нее нужны непрерывный мониторинг, динамические подходы и умение «ловить» слабые сигналы. Ключ к успеху </w:t>
      </w:r>
      <w:r w:rsidR="00D97181">
        <w:rPr>
          <w:rFonts w:cs="Times New Roman"/>
          <w:bCs/>
          <w:szCs w:val="28"/>
        </w:rPr>
        <w:t>–</w:t>
      </w:r>
      <w:r w:rsidRPr="00A15A7D">
        <w:rPr>
          <w:rFonts w:cs="Times New Roman"/>
          <w:bCs/>
          <w:szCs w:val="28"/>
        </w:rPr>
        <w:t xml:space="preserve"> сочетание технологий для анализа данных и «человеческого фактора»: лидерства, культуры сотрудничества и коммуникации.</w:t>
      </w:r>
    </w:p>
    <w:p w14:paraId="43B6DB73" w14:textId="555DC97C" w:rsidR="00A15A7D" w:rsidRPr="00A15A7D" w:rsidRDefault="00A15A7D" w:rsidP="00A15A7D">
      <w:pPr>
        <w:tabs>
          <w:tab w:val="left" w:pos="709"/>
        </w:tabs>
        <w:spacing w:after="0" w:line="276" w:lineRule="auto"/>
        <w:ind w:firstLine="851"/>
        <w:jc w:val="both"/>
        <w:rPr>
          <w:rFonts w:cs="Times New Roman"/>
          <w:bCs/>
          <w:szCs w:val="28"/>
        </w:rPr>
      </w:pPr>
      <w:r w:rsidRPr="00A15A7D">
        <w:rPr>
          <w:rFonts w:cs="Times New Roman"/>
          <w:bCs/>
          <w:szCs w:val="28"/>
        </w:rPr>
        <w:t xml:space="preserve">«Риск-менеджер сегодня </w:t>
      </w:r>
      <w:r w:rsidR="00D97181">
        <w:rPr>
          <w:rFonts w:cs="Times New Roman"/>
          <w:bCs/>
          <w:szCs w:val="28"/>
        </w:rPr>
        <w:t>–</w:t>
      </w:r>
      <w:r w:rsidRPr="00A15A7D">
        <w:rPr>
          <w:rFonts w:cs="Times New Roman"/>
          <w:bCs/>
          <w:szCs w:val="28"/>
        </w:rPr>
        <w:t xml:space="preserve"> это не контролер, а стратегический советник, который должен влиять на повестку и строить устойчивость компании», </w:t>
      </w:r>
      <w:r w:rsidR="00D97181">
        <w:rPr>
          <w:rFonts w:cs="Times New Roman"/>
          <w:bCs/>
          <w:szCs w:val="28"/>
        </w:rPr>
        <w:t>–</w:t>
      </w:r>
      <w:r w:rsidRPr="00A15A7D">
        <w:rPr>
          <w:rFonts w:cs="Times New Roman"/>
          <w:bCs/>
          <w:szCs w:val="28"/>
        </w:rPr>
        <w:t xml:space="preserve"> отметил Маурицио Кастелли, президент научно-технического комитета </w:t>
      </w:r>
      <w:proofErr w:type="spellStart"/>
      <w:r w:rsidRPr="00A15A7D">
        <w:rPr>
          <w:rFonts w:cs="Times New Roman"/>
          <w:bCs/>
          <w:szCs w:val="28"/>
        </w:rPr>
        <w:t>Anra</w:t>
      </w:r>
      <w:proofErr w:type="spellEnd"/>
      <w:r w:rsidRPr="00A15A7D">
        <w:rPr>
          <w:rFonts w:cs="Times New Roman"/>
          <w:bCs/>
          <w:szCs w:val="28"/>
        </w:rPr>
        <w:t>. По его словам, это глобальный тренд, и обновление знаний для специалистов стало не опцией, а необходимостью.</w:t>
      </w:r>
    </w:p>
    <w:p w14:paraId="07145F08" w14:textId="4FC8BBA9" w:rsidR="00874202" w:rsidRPr="00647287" w:rsidRDefault="00874202" w:rsidP="00874202">
      <w:pPr>
        <w:spacing w:after="0" w:line="276" w:lineRule="auto"/>
        <w:ind w:firstLine="851"/>
        <w:jc w:val="both"/>
        <w:rPr>
          <w:rFonts w:cs="Times New Roman"/>
          <w:bCs/>
          <w:szCs w:val="28"/>
        </w:rPr>
      </w:pPr>
      <w:r w:rsidRPr="00647287">
        <w:rPr>
          <w:rFonts w:cs="Times New Roman"/>
          <w:b/>
          <w:bCs/>
          <w:szCs w:val="28"/>
        </w:rPr>
        <w:t>Источник</w:t>
      </w:r>
      <w:r w:rsidRPr="00647287">
        <w:rPr>
          <w:rFonts w:cs="Times New Roman"/>
          <w:bCs/>
          <w:szCs w:val="28"/>
        </w:rPr>
        <w:t xml:space="preserve">: </w:t>
      </w:r>
      <w:hyperlink r:id="rId13" w:history="1">
        <w:r w:rsidRPr="00ED2184">
          <w:rPr>
            <w:rStyle w:val="ac"/>
          </w:rPr>
          <w:t>https://www.commercialriskonline.com/traditional-model-no-longer-valid-as-risk-management-stands-at-crossroads-anra/</w:t>
        </w:r>
      </w:hyperlink>
      <w:r>
        <w:t xml:space="preserve"> </w:t>
      </w:r>
      <w:r>
        <w:t>30.12.2025</w:t>
      </w:r>
    </w:p>
    <w:p w14:paraId="338E6556" w14:textId="77777777" w:rsidR="00874202" w:rsidRPr="00647287" w:rsidRDefault="00874202" w:rsidP="00874202">
      <w:pPr>
        <w:spacing w:after="0" w:line="276" w:lineRule="auto"/>
        <w:ind w:firstLine="851"/>
        <w:jc w:val="both"/>
        <w:rPr>
          <w:rFonts w:cs="Times New Roman"/>
          <w:bCs/>
          <w:szCs w:val="28"/>
        </w:rPr>
      </w:pPr>
    </w:p>
    <w:p w14:paraId="78D26D41" w14:textId="627D7B8C" w:rsidR="00874202" w:rsidRDefault="00874202" w:rsidP="00874202">
      <w:pPr>
        <w:pStyle w:val="1"/>
        <w:spacing w:before="0" w:after="0" w:line="276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  <w:bookmarkStart w:id="8" w:name="_Toc218102646"/>
      <w:r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lastRenderedPageBreak/>
        <w:t>9</w:t>
      </w:r>
      <w:r w:rsidRPr="00274296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.</w:t>
      </w:r>
      <w:r w:rsidRPr="00274296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ab/>
      </w:r>
      <w:r w:rsidRPr="00874202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Эволюция рискового ландшафта D&amp;O и стратегии защиты руководства</w:t>
      </w:r>
      <w:bookmarkEnd w:id="8"/>
    </w:p>
    <w:p w14:paraId="4344B724" w14:textId="7581E5A6" w:rsidR="00874202" w:rsidRPr="00874202" w:rsidRDefault="00874202" w:rsidP="00874202">
      <w:pPr>
        <w:tabs>
          <w:tab w:val="left" w:pos="709"/>
        </w:tabs>
        <w:spacing w:after="0" w:line="276" w:lineRule="auto"/>
        <w:ind w:firstLine="851"/>
        <w:jc w:val="both"/>
        <w:rPr>
          <w:rFonts w:cs="Times New Roman"/>
          <w:bCs/>
          <w:szCs w:val="28"/>
        </w:rPr>
      </w:pPr>
      <w:r w:rsidRPr="00874202">
        <w:rPr>
          <w:rFonts w:cs="Times New Roman"/>
          <w:bCs/>
          <w:szCs w:val="28"/>
        </w:rPr>
        <w:t xml:space="preserve">Современные руководители функционируют в условиях </w:t>
      </w:r>
      <w:r>
        <w:rPr>
          <w:rFonts w:cs="Times New Roman"/>
          <w:bCs/>
          <w:szCs w:val="28"/>
        </w:rPr>
        <w:t>постоянной</w:t>
      </w:r>
      <w:r w:rsidRPr="00874202">
        <w:rPr>
          <w:rFonts w:cs="Times New Roman"/>
          <w:bCs/>
          <w:szCs w:val="28"/>
        </w:rPr>
        <w:t xml:space="preserve"> экономической нестабильности, будучи обязанными обеспечивать прибыльность и доходность для акционеров. Одновременно на них ложится растущее регуляторное бремя, </w:t>
      </w:r>
      <w:proofErr w:type="spellStart"/>
      <w:r w:rsidRPr="00874202">
        <w:rPr>
          <w:rFonts w:cs="Times New Roman"/>
          <w:bCs/>
          <w:szCs w:val="28"/>
        </w:rPr>
        <w:t>киберриск</w:t>
      </w:r>
      <w:r>
        <w:rPr>
          <w:rFonts w:cs="Times New Roman"/>
          <w:bCs/>
          <w:szCs w:val="28"/>
        </w:rPr>
        <w:t>и</w:t>
      </w:r>
      <w:proofErr w:type="spellEnd"/>
      <w:r w:rsidRPr="00874202">
        <w:rPr>
          <w:rFonts w:cs="Times New Roman"/>
          <w:bCs/>
          <w:szCs w:val="28"/>
        </w:rPr>
        <w:t>, проблемы цепочек поставок, инфляция, колебания процентных ставок и геополитическая нестабильность.</w:t>
      </w:r>
    </w:p>
    <w:p w14:paraId="5B8A649F" w14:textId="2CE80DCF" w:rsidR="00874202" w:rsidRPr="00874202" w:rsidRDefault="00874202" w:rsidP="00874202">
      <w:pPr>
        <w:tabs>
          <w:tab w:val="left" w:pos="709"/>
        </w:tabs>
        <w:spacing w:after="0" w:line="276" w:lineRule="auto"/>
        <w:ind w:firstLine="851"/>
        <w:jc w:val="both"/>
        <w:rPr>
          <w:rFonts w:cs="Times New Roman"/>
          <w:bCs/>
          <w:szCs w:val="28"/>
        </w:rPr>
      </w:pPr>
      <w:r w:rsidRPr="00874202">
        <w:rPr>
          <w:rFonts w:cs="Times New Roman"/>
          <w:bCs/>
          <w:szCs w:val="28"/>
        </w:rPr>
        <w:t>Ужесточение регулирования и глобализация исков: Повсеместное усиление надзора регуляторов сочетается с ростом финансирования судебных разбирательств против корпораций. Коллективные иски к эмитентам ценных бумаг теперь регулярно подаются не только в США, но и в Великобритании, ЕС и Азиатско-Тихоокеанском регионе.</w:t>
      </w:r>
    </w:p>
    <w:p w14:paraId="12397042" w14:textId="776ECC3B" w:rsidR="00874202" w:rsidRPr="00874202" w:rsidRDefault="00874202" w:rsidP="00874202">
      <w:pPr>
        <w:tabs>
          <w:tab w:val="left" w:pos="709"/>
        </w:tabs>
        <w:spacing w:after="0" w:line="276" w:lineRule="auto"/>
        <w:ind w:firstLine="851"/>
        <w:jc w:val="both"/>
        <w:rPr>
          <w:rFonts w:cs="Times New Roman"/>
          <w:bCs/>
          <w:szCs w:val="28"/>
        </w:rPr>
      </w:pPr>
      <w:r w:rsidRPr="00874202">
        <w:rPr>
          <w:rFonts w:cs="Times New Roman"/>
          <w:bCs/>
          <w:szCs w:val="28"/>
        </w:rPr>
        <w:t>Эпидемия киберпреступлений, особенно вымогательских атак, создает прямую угрозу для руководителей. Утечка данных, угрозы конфиденциальности, перерывы в бизнесе и репутационный ущерб могут привести к судебным искам из-за недостаточной защиты от кибератак.</w:t>
      </w:r>
    </w:p>
    <w:p w14:paraId="012509D3" w14:textId="579E0BE0" w:rsidR="00874202" w:rsidRPr="00874202" w:rsidRDefault="00874202" w:rsidP="00874202">
      <w:pPr>
        <w:tabs>
          <w:tab w:val="left" w:pos="709"/>
        </w:tabs>
        <w:spacing w:after="0" w:line="276" w:lineRule="auto"/>
        <w:ind w:firstLine="851"/>
        <w:jc w:val="both"/>
        <w:rPr>
          <w:rFonts w:cs="Times New Roman"/>
          <w:bCs/>
          <w:szCs w:val="28"/>
        </w:rPr>
      </w:pPr>
      <w:r w:rsidRPr="00874202">
        <w:rPr>
          <w:rFonts w:cs="Times New Roman"/>
          <w:bCs/>
          <w:szCs w:val="28"/>
        </w:rPr>
        <w:t xml:space="preserve">Страхование ответственности директоров и должностных лиц (D&amp;O) </w:t>
      </w:r>
      <w:r w:rsidR="00D97181">
        <w:rPr>
          <w:rFonts w:cs="Times New Roman"/>
          <w:bCs/>
          <w:szCs w:val="28"/>
        </w:rPr>
        <w:t>–</w:t>
      </w:r>
      <w:r w:rsidRPr="00874202">
        <w:rPr>
          <w:rFonts w:cs="Times New Roman"/>
          <w:bCs/>
          <w:szCs w:val="28"/>
        </w:rPr>
        <w:t xml:space="preserve"> это основной инструмент финансовой защиты, покрывающий расходы на адвокатов и возможные возмещения ущерба. Его важность резко возросла на фоне увеличения числа судебных разбирательств от регуляторов, акционеров, сотрудников и третьих сторон.</w:t>
      </w:r>
    </w:p>
    <w:p w14:paraId="199FCB9E" w14:textId="77777777" w:rsidR="00874202" w:rsidRPr="00874202" w:rsidRDefault="00874202" w:rsidP="00874202">
      <w:pPr>
        <w:tabs>
          <w:tab w:val="left" w:pos="709"/>
        </w:tabs>
        <w:spacing w:after="0" w:line="276" w:lineRule="auto"/>
        <w:ind w:firstLine="851"/>
        <w:jc w:val="both"/>
        <w:rPr>
          <w:rFonts w:cs="Times New Roman"/>
          <w:bCs/>
          <w:szCs w:val="28"/>
        </w:rPr>
      </w:pPr>
      <w:r w:rsidRPr="00874202">
        <w:rPr>
          <w:rFonts w:cs="Times New Roman"/>
          <w:bCs/>
          <w:szCs w:val="28"/>
        </w:rPr>
        <w:t>В связи с расширением рисков и ростом числа крупных страховых случаев, компании ищут надежных партнеров. Требования к страховщику включают:</w:t>
      </w:r>
    </w:p>
    <w:p w14:paraId="6E270FFB" w14:textId="3205775F" w:rsidR="00874202" w:rsidRPr="00874202" w:rsidRDefault="00874202" w:rsidP="00874202">
      <w:pPr>
        <w:pStyle w:val="a7"/>
        <w:numPr>
          <w:ilvl w:val="0"/>
          <w:numId w:val="8"/>
        </w:numPr>
        <w:tabs>
          <w:tab w:val="left" w:pos="709"/>
        </w:tabs>
        <w:spacing w:after="0" w:line="276" w:lineRule="auto"/>
        <w:jc w:val="both"/>
        <w:rPr>
          <w:rFonts w:cs="Times New Roman"/>
          <w:bCs/>
          <w:szCs w:val="28"/>
        </w:rPr>
      </w:pPr>
      <w:r w:rsidRPr="00874202">
        <w:rPr>
          <w:rFonts w:cs="Times New Roman"/>
          <w:bCs/>
          <w:szCs w:val="28"/>
        </w:rPr>
        <w:t>Глубокий опыт и экспертиза: Длительная практика андеррайтинга и глубокое понимание глобальных рисков D&amp;O.</w:t>
      </w:r>
    </w:p>
    <w:p w14:paraId="0114F3F7" w14:textId="125A7B65" w:rsidR="00874202" w:rsidRPr="00874202" w:rsidRDefault="00874202" w:rsidP="00874202">
      <w:pPr>
        <w:pStyle w:val="a7"/>
        <w:numPr>
          <w:ilvl w:val="0"/>
          <w:numId w:val="8"/>
        </w:numPr>
        <w:tabs>
          <w:tab w:val="left" w:pos="709"/>
        </w:tabs>
        <w:spacing w:after="0" w:line="276" w:lineRule="auto"/>
        <w:jc w:val="both"/>
        <w:rPr>
          <w:rFonts w:cs="Times New Roman"/>
          <w:bCs/>
          <w:szCs w:val="28"/>
        </w:rPr>
      </w:pPr>
      <w:r w:rsidRPr="00874202">
        <w:rPr>
          <w:rFonts w:cs="Times New Roman"/>
          <w:bCs/>
          <w:szCs w:val="28"/>
        </w:rPr>
        <w:t>Индивидуальные решения: Способность разрабатывать адаптированные страховые программы.</w:t>
      </w:r>
    </w:p>
    <w:p w14:paraId="785F28FF" w14:textId="577834B4" w:rsidR="00874202" w:rsidRPr="00874202" w:rsidRDefault="00874202" w:rsidP="00874202">
      <w:pPr>
        <w:pStyle w:val="a7"/>
        <w:numPr>
          <w:ilvl w:val="0"/>
          <w:numId w:val="8"/>
        </w:numPr>
        <w:tabs>
          <w:tab w:val="left" w:pos="709"/>
        </w:tabs>
        <w:spacing w:after="0" w:line="276" w:lineRule="auto"/>
        <w:jc w:val="both"/>
        <w:rPr>
          <w:rFonts w:cs="Times New Roman"/>
          <w:bCs/>
          <w:szCs w:val="28"/>
        </w:rPr>
      </w:pPr>
      <w:r w:rsidRPr="00874202">
        <w:rPr>
          <w:rFonts w:cs="Times New Roman"/>
          <w:bCs/>
          <w:szCs w:val="28"/>
        </w:rPr>
        <w:t>Надежная финансовая устойчивость: Гарантированное предоставление страхового покрытия и выполнение обязательств даже при крупных убытках.</w:t>
      </w:r>
    </w:p>
    <w:p w14:paraId="31A1249C" w14:textId="0306F652" w:rsidR="00874202" w:rsidRPr="00874202" w:rsidRDefault="00874202" w:rsidP="00874202">
      <w:pPr>
        <w:pStyle w:val="a7"/>
        <w:numPr>
          <w:ilvl w:val="0"/>
          <w:numId w:val="8"/>
        </w:numPr>
        <w:tabs>
          <w:tab w:val="left" w:pos="709"/>
        </w:tabs>
        <w:spacing w:after="0" w:line="276" w:lineRule="auto"/>
        <w:jc w:val="both"/>
        <w:rPr>
          <w:rFonts w:cs="Times New Roman"/>
          <w:bCs/>
          <w:szCs w:val="28"/>
        </w:rPr>
      </w:pPr>
      <w:r w:rsidRPr="00874202">
        <w:rPr>
          <w:rFonts w:cs="Times New Roman"/>
          <w:bCs/>
          <w:szCs w:val="28"/>
        </w:rPr>
        <w:t>Оперативное урегулирование убытков: Быстрая и эффективная работа с претензиями.</w:t>
      </w:r>
    </w:p>
    <w:p w14:paraId="240CFD1B" w14:textId="3D8ACB28" w:rsidR="00874202" w:rsidRPr="00874202" w:rsidRDefault="00874202" w:rsidP="00874202">
      <w:pPr>
        <w:pStyle w:val="a7"/>
        <w:numPr>
          <w:ilvl w:val="0"/>
          <w:numId w:val="8"/>
        </w:numPr>
        <w:tabs>
          <w:tab w:val="left" w:pos="709"/>
        </w:tabs>
        <w:spacing w:after="0" w:line="276" w:lineRule="auto"/>
        <w:jc w:val="both"/>
        <w:rPr>
          <w:rFonts w:cs="Times New Roman"/>
          <w:bCs/>
          <w:szCs w:val="28"/>
        </w:rPr>
      </w:pPr>
      <w:r w:rsidRPr="00874202">
        <w:rPr>
          <w:rFonts w:cs="Times New Roman"/>
          <w:bCs/>
          <w:szCs w:val="28"/>
        </w:rPr>
        <w:t>Глобальное присутствие: Возможность обеспечения согласованного покрытия и управления претензиями по всему миру, что критически важно для международных компаний.</w:t>
      </w:r>
    </w:p>
    <w:p w14:paraId="1FF43A57" w14:textId="77777777" w:rsidR="00874202" w:rsidRDefault="00874202" w:rsidP="00874202">
      <w:pPr>
        <w:tabs>
          <w:tab w:val="left" w:pos="709"/>
        </w:tabs>
        <w:spacing w:after="0" w:line="276" w:lineRule="auto"/>
        <w:ind w:firstLine="851"/>
        <w:jc w:val="both"/>
        <w:rPr>
          <w:rFonts w:cs="Times New Roman"/>
          <w:bCs/>
          <w:szCs w:val="28"/>
        </w:rPr>
      </w:pPr>
      <w:r w:rsidRPr="00874202">
        <w:rPr>
          <w:rFonts w:cs="Times New Roman"/>
          <w:bCs/>
          <w:szCs w:val="28"/>
        </w:rPr>
        <w:t xml:space="preserve">В условиях динамично меняющейся среды рисков необходима их постоянная переоценка. Стратегическое партнерство с опытной, финансово </w:t>
      </w:r>
      <w:r w:rsidRPr="00874202">
        <w:rPr>
          <w:rFonts w:cs="Times New Roman"/>
          <w:bCs/>
          <w:szCs w:val="28"/>
        </w:rPr>
        <w:lastRenderedPageBreak/>
        <w:t>устойчивой страховой компанией, обладающей глобальными возможностями, становится неотъемлемой частью системы корпоративного управления. Это позволяет руководителям принимать сложные решения, будучи адекватно защищенными.</w:t>
      </w:r>
      <w:r>
        <w:rPr>
          <w:rFonts w:cs="Times New Roman"/>
          <w:bCs/>
          <w:szCs w:val="28"/>
        </w:rPr>
        <w:t xml:space="preserve"> </w:t>
      </w:r>
    </w:p>
    <w:p w14:paraId="15CE8DC8" w14:textId="79FA9093" w:rsidR="00874202" w:rsidRPr="00647287" w:rsidRDefault="00874202" w:rsidP="00874202">
      <w:pPr>
        <w:spacing w:after="0" w:line="276" w:lineRule="auto"/>
        <w:ind w:firstLine="851"/>
        <w:jc w:val="both"/>
        <w:rPr>
          <w:rFonts w:cs="Times New Roman"/>
          <w:bCs/>
          <w:szCs w:val="28"/>
        </w:rPr>
      </w:pPr>
      <w:r w:rsidRPr="00647287">
        <w:rPr>
          <w:rFonts w:cs="Times New Roman"/>
          <w:b/>
          <w:bCs/>
          <w:szCs w:val="28"/>
        </w:rPr>
        <w:t>Источник</w:t>
      </w:r>
      <w:r w:rsidRPr="00647287">
        <w:rPr>
          <w:rFonts w:cs="Times New Roman"/>
          <w:bCs/>
          <w:szCs w:val="28"/>
        </w:rPr>
        <w:t xml:space="preserve">: </w:t>
      </w:r>
      <w:hyperlink r:id="rId14" w:history="1">
        <w:r w:rsidRPr="00ED2184">
          <w:rPr>
            <w:rStyle w:val="ac"/>
          </w:rPr>
          <w:t>https://www.commercialriskonline.com/the-evolving-do-risk-landscape/</w:t>
        </w:r>
      </w:hyperlink>
      <w:r>
        <w:t xml:space="preserve"> 30.12.2025</w:t>
      </w:r>
    </w:p>
    <w:p w14:paraId="3021FE76" w14:textId="77777777" w:rsidR="00874202" w:rsidRPr="00647287" w:rsidRDefault="00874202" w:rsidP="00874202">
      <w:pPr>
        <w:spacing w:after="0" w:line="276" w:lineRule="auto"/>
        <w:ind w:firstLine="851"/>
        <w:jc w:val="both"/>
        <w:rPr>
          <w:rFonts w:cs="Times New Roman"/>
          <w:bCs/>
          <w:szCs w:val="28"/>
        </w:rPr>
      </w:pPr>
    </w:p>
    <w:p w14:paraId="232BAF50" w14:textId="1B371D38" w:rsidR="00874202" w:rsidRDefault="00874202" w:rsidP="00874202">
      <w:pPr>
        <w:pStyle w:val="1"/>
        <w:spacing w:before="0" w:after="0" w:line="276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  <w:bookmarkStart w:id="9" w:name="_Toc218102647"/>
      <w:r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10</w:t>
      </w:r>
      <w:r w:rsidRPr="00274296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.</w:t>
      </w:r>
      <w:r w:rsidRPr="00274296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ab/>
      </w:r>
      <w:r w:rsidR="000E2AF2" w:rsidRPr="000E2AF2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Новые риски опережают готовность компаний</w:t>
      </w:r>
      <w:bookmarkEnd w:id="9"/>
    </w:p>
    <w:p w14:paraId="48B43E82" w14:textId="7B87BB6C" w:rsidR="000E2AF2" w:rsidRDefault="000E2AF2" w:rsidP="000E2AF2">
      <w:pPr>
        <w:tabs>
          <w:tab w:val="left" w:pos="709"/>
        </w:tabs>
        <w:spacing w:after="0" w:line="276" w:lineRule="auto"/>
        <w:ind w:firstLine="851"/>
        <w:jc w:val="both"/>
        <w:rPr>
          <w:rFonts w:cs="Times New Roman"/>
          <w:bCs/>
          <w:szCs w:val="28"/>
        </w:rPr>
      </w:pPr>
      <w:r w:rsidRPr="000E2AF2">
        <w:rPr>
          <w:rFonts w:cs="Times New Roman"/>
          <w:bCs/>
          <w:szCs w:val="28"/>
        </w:rPr>
        <w:t>Согласно глобальному исследованию, новые и взаимосвязанные риски возникают быстрее, чем организации успевают адаптироваться к ним, что создает беспрецедентные вызовы для систем управления. При этом технологические возможности, в частности искусственный интеллект, для повышения устойчивости остаются практически не задействованными.</w:t>
      </w:r>
    </w:p>
    <w:p w14:paraId="55B72E54" w14:textId="77777777" w:rsidR="000E2AF2" w:rsidRPr="000E2AF2" w:rsidRDefault="000E2AF2" w:rsidP="000E2AF2">
      <w:pPr>
        <w:tabs>
          <w:tab w:val="left" w:pos="709"/>
        </w:tabs>
        <w:spacing w:after="0" w:line="276" w:lineRule="auto"/>
        <w:ind w:firstLine="851"/>
        <w:jc w:val="both"/>
        <w:rPr>
          <w:rFonts w:cs="Times New Roman"/>
          <w:bCs/>
          <w:szCs w:val="28"/>
        </w:rPr>
      </w:pPr>
      <w:r w:rsidRPr="000E2AF2">
        <w:rPr>
          <w:rFonts w:cs="Times New Roman"/>
          <w:bCs/>
          <w:szCs w:val="28"/>
        </w:rPr>
        <w:t>Анализ ключевых проблем:</w:t>
      </w:r>
    </w:p>
    <w:p w14:paraId="17005461" w14:textId="7686AD9D" w:rsidR="000E2AF2" w:rsidRPr="000E2AF2" w:rsidRDefault="000E2AF2" w:rsidP="000E2AF2">
      <w:pPr>
        <w:tabs>
          <w:tab w:val="left" w:pos="709"/>
        </w:tabs>
        <w:spacing w:after="0" w:line="276" w:lineRule="auto"/>
        <w:ind w:firstLine="851"/>
        <w:jc w:val="both"/>
        <w:rPr>
          <w:rFonts w:cs="Times New Roman"/>
          <w:bCs/>
          <w:szCs w:val="28"/>
        </w:rPr>
      </w:pPr>
      <w:r w:rsidRPr="000E2AF2">
        <w:rPr>
          <w:rFonts w:cs="Times New Roman"/>
          <w:bCs/>
          <w:szCs w:val="28"/>
        </w:rPr>
        <w:t>Дефицит готовности и растущая неопределенность. Большинство риск-менеджеров (57%) отмечают, что скорость появления новых угроз опережает темпы развития их систем реагирования. Неопределенность значительно возросла за последний год у 66% организаций, в первую очередь из-за геополитической нестабильности и киберугроз. Критически сокращается «окно» для принятия решений (74%).</w:t>
      </w:r>
    </w:p>
    <w:p w14:paraId="789CB9C1" w14:textId="54A0AD27" w:rsidR="000E2AF2" w:rsidRPr="000E2AF2" w:rsidRDefault="000E2AF2" w:rsidP="000E2AF2">
      <w:pPr>
        <w:tabs>
          <w:tab w:val="left" w:pos="709"/>
        </w:tabs>
        <w:spacing w:after="0" w:line="276" w:lineRule="auto"/>
        <w:ind w:firstLine="851"/>
        <w:jc w:val="both"/>
        <w:rPr>
          <w:rFonts w:cs="Times New Roman"/>
          <w:bCs/>
          <w:szCs w:val="28"/>
        </w:rPr>
      </w:pPr>
      <w:r w:rsidRPr="000E2AF2">
        <w:rPr>
          <w:rFonts w:cs="Times New Roman"/>
          <w:bCs/>
          <w:szCs w:val="28"/>
        </w:rPr>
        <w:t xml:space="preserve">Эффект конвергенции рисков. Современные кризисы носят комплексный характер: 49% экспертов подтверждают, что риски все чаще взаимосвязаны и накладываются друг на друга. Такие угрозы, как экстремальные погодные явления, проблемы психического здоровья сотрудников, инфекционные заболевания и социальная напряженность, требуют интегрированных решений, особенно </w:t>
      </w:r>
      <w:r>
        <w:rPr>
          <w:rFonts w:cs="Times New Roman"/>
          <w:bCs/>
          <w:szCs w:val="28"/>
        </w:rPr>
        <w:t>в контексте</w:t>
      </w:r>
      <w:r w:rsidRPr="000E2AF2">
        <w:rPr>
          <w:rFonts w:cs="Times New Roman"/>
          <w:bCs/>
          <w:szCs w:val="28"/>
        </w:rPr>
        <w:t xml:space="preserve"> международных операций.</w:t>
      </w:r>
    </w:p>
    <w:p w14:paraId="1D2CB513" w14:textId="3181D0A3" w:rsidR="000E2AF2" w:rsidRPr="000E2AF2" w:rsidRDefault="000E2AF2" w:rsidP="000E2AF2">
      <w:pPr>
        <w:tabs>
          <w:tab w:val="left" w:pos="709"/>
        </w:tabs>
        <w:spacing w:after="0" w:line="276" w:lineRule="auto"/>
        <w:ind w:firstLine="851"/>
        <w:jc w:val="both"/>
        <w:rPr>
          <w:rFonts w:cs="Times New Roman"/>
          <w:bCs/>
          <w:szCs w:val="28"/>
        </w:rPr>
      </w:pPr>
      <w:r w:rsidRPr="000E2AF2">
        <w:rPr>
          <w:rFonts w:cs="Times New Roman"/>
          <w:bCs/>
          <w:szCs w:val="28"/>
        </w:rPr>
        <w:t>Недооценка технологического потенциала. Несмотря на острую потребность в оперативной аналитике и упреждающих действиях, лишь 6% компаний рассматривают искусственный интеллект как значимый инструмент в своем риск-арсенале. Это представляет собой серьезное упущение в контексте необходимости динамичной и «интеллектуальной» готовности.</w:t>
      </w:r>
    </w:p>
    <w:p w14:paraId="362A3221" w14:textId="6A0CEF2E" w:rsidR="00A15A7D" w:rsidRDefault="000E2AF2" w:rsidP="000E2AF2">
      <w:pPr>
        <w:tabs>
          <w:tab w:val="left" w:pos="709"/>
        </w:tabs>
        <w:spacing w:after="0" w:line="276" w:lineRule="auto"/>
        <w:ind w:firstLine="851"/>
        <w:jc w:val="both"/>
        <w:rPr>
          <w:rFonts w:cs="Times New Roman"/>
          <w:bCs/>
          <w:szCs w:val="28"/>
        </w:rPr>
      </w:pPr>
      <w:r w:rsidRPr="000E2AF2">
        <w:rPr>
          <w:rFonts w:cs="Times New Roman"/>
          <w:bCs/>
          <w:szCs w:val="28"/>
        </w:rPr>
        <w:t xml:space="preserve">В новой риск-реальности традиционные статические модели обеспечения непрерывности бизнеса устарели. Устойчивость организации теперь определяется способностью к антиципации и быстрой адаптации к конвергентным угрозам. Ключевым элементом этой трансформации должна стать интеграция передовых технологий для анализа данных и поддержки </w:t>
      </w:r>
      <w:r w:rsidRPr="000E2AF2">
        <w:rPr>
          <w:rFonts w:cs="Times New Roman"/>
          <w:bCs/>
          <w:szCs w:val="28"/>
        </w:rPr>
        <w:lastRenderedPageBreak/>
        <w:t>принятия решений, потенциал которых в настоящее время практически не реализован.</w:t>
      </w:r>
    </w:p>
    <w:p w14:paraId="59041550" w14:textId="20E81DE5" w:rsidR="000E2AF2" w:rsidRPr="00D97181" w:rsidRDefault="000E2AF2" w:rsidP="000E2AF2">
      <w:pPr>
        <w:spacing w:after="0"/>
        <w:ind w:firstLine="709"/>
        <w:jc w:val="both"/>
      </w:pPr>
      <w:r w:rsidRPr="00647287">
        <w:rPr>
          <w:rFonts w:cs="Times New Roman"/>
          <w:b/>
          <w:bCs/>
          <w:szCs w:val="28"/>
        </w:rPr>
        <w:t>Источник</w:t>
      </w:r>
      <w:r w:rsidRPr="00647287">
        <w:rPr>
          <w:rFonts w:cs="Times New Roman"/>
          <w:bCs/>
          <w:szCs w:val="28"/>
        </w:rPr>
        <w:t xml:space="preserve">: </w:t>
      </w:r>
      <w:hyperlink r:id="rId15" w:history="1">
        <w:r w:rsidRPr="00D97181">
          <w:rPr>
            <w:lang w:val="en-US"/>
          </w:rPr>
          <w:t>https</w:t>
        </w:r>
        <w:r w:rsidRPr="00D97181">
          <w:t>://</w:t>
        </w:r>
        <w:r w:rsidRPr="00D97181">
          <w:rPr>
            <w:lang w:val="en-US"/>
          </w:rPr>
          <w:t>www</w:t>
        </w:r>
        <w:r w:rsidRPr="00D97181">
          <w:t>.</w:t>
        </w:r>
        <w:proofErr w:type="spellStart"/>
        <w:r w:rsidRPr="00D97181">
          <w:rPr>
            <w:lang w:val="en-US"/>
          </w:rPr>
          <w:t>commercialriskonline</w:t>
        </w:r>
        <w:proofErr w:type="spellEnd"/>
        <w:r w:rsidRPr="00D97181">
          <w:t>.</w:t>
        </w:r>
        <w:r w:rsidRPr="00D97181">
          <w:rPr>
            <w:lang w:val="en-US"/>
          </w:rPr>
          <w:t>com</w:t>
        </w:r>
        <w:r w:rsidRPr="00D97181">
          <w:t>/</w:t>
        </w:r>
        <w:r w:rsidRPr="00D97181">
          <w:rPr>
            <w:lang w:val="en-US"/>
          </w:rPr>
          <w:t>new</w:t>
        </w:r>
        <w:r w:rsidRPr="00D97181">
          <w:t>-</w:t>
        </w:r>
        <w:r w:rsidRPr="00D97181">
          <w:rPr>
            <w:lang w:val="en-US"/>
          </w:rPr>
          <w:t>and</w:t>
        </w:r>
        <w:r w:rsidRPr="00D97181">
          <w:t>-</w:t>
        </w:r>
        <w:r w:rsidRPr="00D97181">
          <w:rPr>
            <w:lang w:val="en-US"/>
          </w:rPr>
          <w:t>converging</w:t>
        </w:r>
        <w:r w:rsidRPr="00D97181">
          <w:t>-</w:t>
        </w:r>
        <w:r w:rsidRPr="00D97181">
          <w:rPr>
            <w:lang w:val="en-US"/>
          </w:rPr>
          <w:t>risks</w:t>
        </w:r>
        <w:r w:rsidRPr="00D97181">
          <w:t>-</w:t>
        </w:r>
        <w:r w:rsidRPr="00D97181">
          <w:rPr>
            <w:lang w:val="en-US"/>
          </w:rPr>
          <w:t>outpacing</w:t>
        </w:r>
        <w:r w:rsidRPr="00D97181">
          <w:t>-</w:t>
        </w:r>
        <w:r w:rsidRPr="00D97181">
          <w:rPr>
            <w:lang w:val="en-US"/>
          </w:rPr>
          <w:t>preparedness</w:t>
        </w:r>
        <w:r w:rsidRPr="00D97181">
          <w:t>-</w:t>
        </w:r>
        <w:r w:rsidRPr="00D97181">
          <w:rPr>
            <w:lang w:val="en-US"/>
          </w:rPr>
          <w:t>international</w:t>
        </w:r>
        <w:r w:rsidRPr="00D97181">
          <w:t>-</w:t>
        </w:r>
        <w:proofErr w:type="spellStart"/>
        <w:r w:rsidRPr="00D97181">
          <w:rPr>
            <w:lang w:val="en-US"/>
          </w:rPr>
          <w:t>sos</w:t>
        </w:r>
        <w:proofErr w:type="spellEnd"/>
        <w:r w:rsidRPr="00D97181">
          <w:t>/</w:t>
        </w:r>
      </w:hyperlink>
      <w:r>
        <w:t xml:space="preserve"> 30.12.2025</w:t>
      </w:r>
    </w:p>
    <w:p w14:paraId="2CBFE6C0" w14:textId="77777777" w:rsidR="000E2AF2" w:rsidRPr="00D3273B" w:rsidRDefault="000E2AF2" w:rsidP="000E2AF2">
      <w:pPr>
        <w:tabs>
          <w:tab w:val="left" w:pos="709"/>
        </w:tabs>
        <w:spacing w:after="0" w:line="276" w:lineRule="auto"/>
        <w:ind w:firstLine="851"/>
        <w:jc w:val="both"/>
        <w:rPr>
          <w:rFonts w:cs="Times New Roman"/>
          <w:bCs/>
          <w:szCs w:val="28"/>
        </w:rPr>
      </w:pPr>
    </w:p>
    <w:sectPr w:rsidR="000E2AF2" w:rsidRPr="00D3273B" w:rsidSect="006C0B77">
      <w:footerReference w:type="default" r:id="rId16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FE9C2" w14:textId="77777777" w:rsidR="00462D99" w:rsidRDefault="00462D99" w:rsidP="008046EE">
      <w:pPr>
        <w:spacing w:after="0"/>
      </w:pPr>
      <w:r>
        <w:separator/>
      </w:r>
    </w:p>
  </w:endnote>
  <w:endnote w:type="continuationSeparator" w:id="0">
    <w:p w14:paraId="6A146C3D" w14:textId="77777777" w:rsidR="00462D99" w:rsidRDefault="00462D99" w:rsidP="008046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1783336"/>
      <w:docPartObj>
        <w:docPartGallery w:val="Page Numbers (Bottom of Page)"/>
        <w:docPartUnique/>
      </w:docPartObj>
    </w:sdtPr>
    <w:sdtContent>
      <w:p w14:paraId="220D737F" w14:textId="289B9547" w:rsidR="00F935B5" w:rsidRDefault="00F935B5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BC19A4" w14:textId="77777777" w:rsidR="00F935B5" w:rsidRDefault="00F935B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8B801" w14:textId="77777777" w:rsidR="00462D99" w:rsidRDefault="00462D99" w:rsidP="008046EE">
      <w:pPr>
        <w:spacing w:after="0"/>
      </w:pPr>
      <w:r>
        <w:separator/>
      </w:r>
    </w:p>
  </w:footnote>
  <w:footnote w:type="continuationSeparator" w:id="0">
    <w:p w14:paraId="2CF24877" w14:textId="77777777" w:rsidR="00462D99" w:rsidRDefault="00462D99" w:rsidP="008046EE">
      <w:pPr>
        <w:spacing w:after="0"/>
      </w:pPr>
      <w:r>
        <w:continuationSeparator/>
      </w:r>
    </w:p>
  </w:footnote>
  <w:footnote w:id="1">
    <w:p w14:paraId="73D6D211" w14:textId="46362FDB" w:rsidR="00647287" w:rsidRPr="00647287" w:rsidRDefault="00647287">
      <w:pPr>
        <w:pStyle w:val="af4"/>
        <w:rPr>
          <w:lang w:val="en-US"/>
        </w:rPr>
      </w:pPr>
      <w:r>
        <w:rPr>
          <w:rStyle w:val="af6"/>
        </w:rPr>
        <w:footnoteRef/>
      </w:r>
      <w:r w:rsidRPr="00647287">
        <w:rPr>
          <w:lang w:val="en-US"/>
        </w:rPr>
        <w:t xml:space="preserve"> </w:t>
      </w:r>
      <w:r w:rsidRPr="00647287">
        <w:rPr>
          <w:lang w:val="en-US"/>
        </w:rPr>
        <w:t>The OECD Global Corporate Sustainability Report 2025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0C1"/>
    <w:multiLevelType w:val="hybridMultilevel"/>
    <w:tmpl w:val="FDD8E59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05F46"/>
    <w:multiLevelType w:val="hybridMultilevel"/>
    <w:tmpl w:val="79D8F4C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A845285"/>
    <w:multiLevelType w:val="hybridMultilevel"/>
    <w:tmpl w:val="FDD8E59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267267B"/>
    <w:multiLevelType w:val="hybridMultilevel"/>
    <w:tmpl w:val="C786D57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6AE35F1"/>
    <w:multiLevelType w:val="hybridMultilevel"/>
    <w:tmpl w:val="15BC47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2621B4B"/>
    <w:multiLevelType w:val="hybridMultilevel"/>
    <w:tmpl w:val="A2FAEFC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66407654"/>
    <w:multiLevelType w:val="hybridMultilevel"/>
    <w:tmpl w:val="71BA7A0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7BD84DB0"/>
    <w:multiLevelType w:val="hybridMultilevel"/>
    <w:tmpl w:val="35927D8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382822672">
    <w:abstractNumId w:val="2"/>
  </w:num>
  <w:num w:numId="2" w16cid:durableId="608467617">
    <w:abstractNumId w:val="3"/>
  </w:num>
  <w:num w:numId="3" w16cid:durableId="741023367">
    <w:abstractNumId w:val="0"/>
  </w:num>
  <w:num w:numId="4" w16cid:durableId="1997176651">
    <w:abstractNumId w:val="4"/>
  </w:num>
  <w:num w:numId="5" w16cid:durableId="1111163673">
    <w:abstractNumId w:val="7"/>
  </w:num>
  <w:num w:numId="6" w16cid:durableId="383412847">
    <w:abstractNumId w:val="6"/>
  </w:num>
  <w:num w:numId="7" w16cid:durableId="2063210719">
    <w:abstractNumId w:val="5"/>
  </w:num>
  <w:num w:numId="8" w16cid:durableId="1698971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FD"/>
    <w:rsid w:val="0002272D"/>
    <w:rsid w:val="000907B6"/>
    <w:rsid w:val="00090DEF"/>
    <w:rsid w:val="000B6B76"/>
    <w:rsid w:val="000D5F0E"/>
    <w:rsid w:val="000E2AF2"/>
    <w:rsid w:val="000F32C1"/>
    <w:rsid w:val="0011035C"/>
    <w:rsid w:val="001164C3"/>
    <w:rsid w:val="00132FE8"/>
    <w:rsid w:val="00150D79"/>
    <w:rsid w:val="0015763D"/>
    <w:rsid w:val="00191FCA"/>
    <w:rsid w:val="001A0AA5"/>
    <w:rsid w:val="001C4776"/>
    <w:rsid w:val="001E491B"/>
    <w:rsid w:val="00253BFB"/>
    <w:rsid w:val="00262691"/>
    <w:rsid w:val="00264FB0"/>
    <w:rsid w:val="00274296"/>
    <w:rsid w:val="00280B99"/>
    <w:rsid w:val="002A13EB"/>
    <w:rsid w:val="002E6B38"/>
    <w:rsid w:val="003234E7"/>
    <w:rsid w:val="00340C29"/>
    <w:rsid w:val="00393C89"/>
    <w:rsid w:val="003E1F1D"/>
    <w:rsid w:val="00444F2C"/>
    <w:rsid w:val="00462D99"/>
    <w:rsid w:val="0046475A"/>
    <w:rsid w:val="00486DFB"/>
    <w:rsid w:val="004A478B"/>
    <w:rsid w:val="004B23C7"/>
    <w:rsid w:val="004C5EE3"/>
    <w:rsid w:val="004F5269"/>
    <w:rsid w:val="005100A7"/>
    <w:rsid w:val="00523303"/>
    <w:rsid w:val="00545EA1"/>
    <w:rsid w:val="00576F46"/>
    <w:rsid w:val="005868CB"/>
    <w:rsid w:val="00624E2C"/>
    <w:rsid w:val="00647287"/>
    <w:rsid w:val="006A07CC"/>
    <w:rsid w:val="006B0CEC"/>
    <w:rsid w:val="006C0B77"/>
    <w:rsid w:val="006D36AE"/>
    <w:rsid w:val="006F16EA"/>
    <w:rsid w:val="00747473"/>
    <w:rsid w:val="00772596"/>
    <w:rsid w:val="00790FA4"/>
    <w:rsid w:val="007B7032"/>
    <w:rsid w:val="007D7516"/>
    <w:rsid w:val="007E7CDD"/>
    <w:rsid w:val="007F392C"/>
    <w:rsid w:val="008046EE"/>
    <w:rsid w:val="00816BAC"/>
    <w:rsid w:val="008242FF"/>
    <w:rsid w:val="00862A48"/>
    <w:rsid w:val="00870751"/>
    <w:rsid w:val="00874202"/>
    <w:rsid w:val="00875CEC"/>
    <w:rsid w:val="0088578D"/>
    <w:rsid w:val="008F1885"/>
    <w:rsid w:val="00922C48"/>
    <w:rsid w:val="009850D6"/>
    <w:rsid w:val="009C5ED7"/>
    <w:rsid w:val="00A15A7D"/>
    <w:rsid w:val="00A4169F"/>
    <w:rsid w:val="00A62E2F"/>
    <w:rsid w:val="00A67C7F"/>
    <w:rsid w:val="00A71B34"/>
    <w:rsid w:val="00A85ECA"/>
    <w:rsid w:val="00AC02B2"/>
    <w:rsid w:val="00AC47FD"/>
    <w:rsid w:val="00B37E11"/>
    <w:rsid w:val="00B722D4"/>
    <w:rsid w:val="00B915B7"/>
    <w:rsid w:val="00BA5D7C"/>
    <w:rsid w:val="00BC0123"/>
    <w:rsid w:val="00BD5773"/>
    <w:rsid w:val="00BE04AC"/>
    <w:rsid w:val="00BE7215"/>
    <w:rsid w:val="00C13EE3"/>
    <w:rsid w:val="00C17B45"/>
    <w:rsid w:val="00C85747"/>
    <w:rsid w:val="00CA2B6C"/>
    <w:rsid w:val="00CC7A4F"/>
    <w:rsid w:val="00CE4783"/>
    <w:rsid w:val="00CF4837"/>
    <w:rsid w:val="00D3273B"/>
    <w:rsid w:val="00D427B2"/>
    <w:rsid w:val="00D67718"/>
    <w:rsid w:val="00D97181"/>
    <w:rsid w:val="00E37DC4"/>
    <w:rsid w:val="00EA59DF"/>
    <w:rsid w:val="00EA67A0"/>
    <w:rsid w:val="00EA7693"/>
    <w:rsid w:val="00ED0259"/>
    <w:rsid w:val="00EE4070"/>
    <w:rsid w:val="00EF073F"/>
    <w:rsid w:val="00F12C76"/>
    <w:rsid w:val="00F160C9"/>
    <w:rsid w:val="00F41C30"/>
    <w:rsid w:val="00F9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EB764"/>
  <w15:chartTrackingRefBased/>
  <w15:docId w15:val="{E252CEE6-5A9E-4454-8709-84CA0147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C4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7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7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7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7F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7F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7F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7F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7F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47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47F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47F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C47F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C47F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C47F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C47F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C47F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C47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4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7F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4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4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47F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C47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47F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47F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47F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C47FD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C47F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C47FD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AC47FD"/>
    <w:rPr>
      <w:color w:val="954F72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8046EE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8046EE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8046EE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rsid w:val="008046EE"/>
    <w:rPr>
      <w:rFonts w:ascii="Times New Roman" w:hAnsi="Times New Roman"/>
      <w:sz w:val="28"/>
    </w:rPr>
  </w:style>
  <w:style w:type="character" w:styleId="af2">
    <w:name w:val="Unresolved Mention"/>
    <w:basedOn w:val="a0"/>
    <w:uiPriority w:val="99"/>
    <w:semiHidden/>
    <w:unhideWhenUsed/>
    <w:rsid w:val="0011035C"/>
    <w:rPr>
      <w:color w:val="605E5C"/>
      <w:shd w:val="clear" w:color="auto" w:fill="E1DFDD"/>
    </w:rPr>
  </w:style>
  <w:style w:type="paragraph" w:styleId="af3">
    <w:name w:val="TOC Heading"/>
    <w:basedOn w:val="1"/>
    <w:next w:val="a"/>
    <w:uiPriority w:val="39"/>
    <w:unhideWhenUsed/>
    <w:qFormat/>
    <w:rsid w:val="00274296"/>
    <w:pPr>
      <w:spacing w:before="240" w:after="0" w:line="259" w:lineRule="auto"/>
      <w:outlineLvl w:val="9"/>
    </w:pPr>
    <w:rPr>
      <w:kern w:val="0"/>
      <w:sz w:val="32"/>
      <w:szCs w:val="32"/>
      <w:lang w:eastAsia="ru-RU"/>
      <w14:ligatures w14:val="none"/>
    </w:rPr>
  </w:style>
  <w:style w:type="paragraph" w:styleId="12">
    <w:name w:val="toc 1"/>
    <w:basedOn w:val="a"/>
    <w:next w:val="a"/>
    <w:autoRedefine/>
    <w:uiPriority w:val="39"/>
    <w:unhideWhenUsed/>
    <w:rsid w:val="00274296"/>
    <w:pPr>
      <w:spacing w:after="100"/>
    </w:pPr>
  </w:style>
  <w:style w:type="paragraph" w:styleId="af4">
    <w:name w:val="footnote text"/>
    <w:basedOn w:val="a"/>
    <w:link w:val="af5"/>
    <w:uiPriority w:val="99"/>
    <w:semiHidden/>
    <w:unhideWhenUsed/>
    <w:rsid w:val="00ED0259"/>
    <w:pPr>
      <w:spacing w:after="0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ED0259"/>
    <w:rPr>
      <w:rFonts w:ascii="Times New Roman" w:hAnsi="Times New Roman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ED02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ercialriskonline.com/fintechs-boost-risk-and-compliance-roles-as-banks-cut-back/" TargetMode="External"/><Relationship Id="rId13" Type="http://schemas.openxmlformats.org/officeDocument/2006/relationships/hyperlink" Target="https://www.commercialriskonline.com/traditional-model-no-longer-valid-as-risk-management-stands-at-crossroads-anra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mmercialriskonline.com/the-hidden-risks-of-data-tracking-navigating-privacy-concerns-amid-rising-litigatio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mmercialriskonline.com/iais-warns-over-financial-stability-risk-from-rising-nat-cat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mmercialriskonline.com/new-and-converging-risks-outpacing-preparedness-international-sos/" TargetMode="External"/><Relationship Id="rId10" Type="http://schemas.openxmlformats.org/officeDocument/2006/relationships/hyperlink" Target="https://www.commercialriskonline.com/risk-appetite-key-to-coverage-decisions-as-market-softens-say-swiss-buye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mmercialriskonline.com/fintechs-boost-risk-and-compliance-roles-as-banks-cut-back/" TargetMode="External"/><Relationship Id="rId14" Type="http://schemas.openxmlformats.org/officeDocument/2006/relationships/hyperlink" Target="https://www.commercialriskonline.com/the-evolving-do-risk-landscap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2C3A8-EA83-4365-838B-2CD297935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13</Pages>
  <Words>4025</Words>
  <Characters>22947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tjf gfjf</dc:creator>
  <cp:keywords/>
  <dc:description/>
  <cp:lastModifiedBy>tjf gfjf</cp:lastModifiedBy>
  <cp:revision>31</cp:revision>
  <dcterms:created xsi:type="dcterms:W3CDTF">2025-10-29T18:06:00Z</dcterms:created>
  <dcterms:modified xsi:type="dcterms:W3CDTF">2025-12-31T16:44:00Z</dcterms:modified>
</cp:coreProperties>
</file>