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heme="minorBidi"/>
          <w:color w:val="auto"/>
          <w:sz w:val="28"/>
          <w:szCs w:val="22"/>
        </w:rPr>
        <w:id w:val="593745009"/>
        <w:docPartObj>
          <w:docPartGallery w:val="Table of Contents"/>
          <w:docPartUnique/>
        </w:docPartObj>
      </w:sdtPr>
      <w:sdtEndPr>
        <w:rPr>
          <w:rFonts w:cs="Times New Roman"/>
          <w:b/>
          <w:bCs/>
          <w:szCs w:val="28"/>
        </w:rPr>
      </w:sdtEndPr>
      <w:sdtContent>
        <w:p w14:paraId="14AC109D" w14:textId="1D3446EC" w:rsidR="00274296" w:rsidRPr="00274296" w:rsidRDefault="00274296" w:rsidP="00390C49">
          <w:pPr>
            <w:pStyle w:val="1"/>
          </w:pPr>
          <w:r w:rsidRPr="00274296">
            <w:t>Оглавление</w:t>
          </w:r>
        </w:p>
        <w:p w14:paraId="66DF5D9B" w14:textId="1A20E96D" w:rsidR="00B934EE" w:rsidRDefault="00274296">
          <w:pPr>
            <w:pStyle w:val="12"/>
            <w:tabs>
              <w:tab w:val="left" w:pos="480"/>
              <w:tab w:val="right" w:leader="dot" w:pos="9344"/>
            </w:tabs>
            <w:rPr>
              <w:rFonts w:asciiTheme="minorHAnsi" w:eastAsiaTheme="minorEastAsia" w:hAnsiTheme="minorHAnsi"/>
              <w:noProof/>
              <w:sz w:val="24"/>
              <w:szCs w:val="24"/>
              <w:lang w:eastAsia="ru-RU"/>
            </w:rPr>
          </w:pPr>
          <w:r w:rsidRPr="00274296">
            <w:rPr>
              <w:rFonts w:cs="Times New Roman"/>
              <w:szCs w:val="28"/>
            </w:rPr>
            <w:fldChar w:fldCharType="begin"/>
          </w:r>
          <w:r w:rsidRPr="00274296">
            <w:rPr>
              <w:rFonts w:cs="Times New Roman"/>
              <w:szCs w:val="28"/>
            </w:rPr>
            <w:instrText xml:space="preserve"> TOC \o "1-3" \h \z \u </w:instrText>
          </w:r>
          <w:r w:rsidRPr="00274296">
            <w:rPr>
              <w:rFonts w:cs="Times New Roman"/>
              <w:szCs w:val="28"/>
            </w:rPr>
            <w:fldChar w:fldCharType="separate"/>
          </w:r>
          <w:hyperlink w:anchor="_Toc222345220" w:history="1">
            <w:r w:rsidR="00B934EE" w:rsidRPr="00914765">
              <w:rPr>
                <w:rStyle w:val="ac"/>
                <w:rFonts w:cs="Times New Roman"/>
                <w:b/>
                <w:noProof/>
                <w:kern w:val="0"/>
                <w14:ligatures w14:val="none"/>
              </w:rPr>
              <w:t>1.</w:t>
            </w:r>
            <w:r w:rsidR="00B934EE">
              <w:rPr>
                <w:rFonts w:asciiTheme="minorHAnsi" w:eastAsiaTheme="minorEastAsia" w:hAnsiTheme="minorHAnsi"/>
                <w:noProof/>
                <w:sz w:val="24"/>
                <w:szCs w:val="24"/>
                <w:lang w:eastAsia="ru-RU"/>
              </w:rPr>
              <w:tab/>
            </w:r>
            <w:r w:rsidR="00B934EE" w:rsidRPr="00914765">
              <w:rPr>
                <w:rStyle w:val="ac"/>
                <w:rFonts w:cs="Times New Roman"/>
                <w:b/>
                <w:noProof/>
                <w:kern w:val="0"/>
                <w14:ligatures w14:val="none"/>
              </w:rPr>
              <w:t>Компании региона Европы, Ближнего Востока и Африки отстают от коллег в использовании страховой аналитики</w:t>
            </w:r>
            <w:r w:rsidR="00B934EE">
              <w:rPr>
                <w:noProof/>
                <w:webHidden/>
              </w:rPr>
              <w:tab/>
            </w:r>
            <w:r w:rsidR="00B934EE">
              <w:rPr>
                <w:noProof/>
                <w:webHidden/>
              </w:rPr>
              <w:fldChar w:fldCharType="begin"/>
            </w:r>
            <w:r w:rsidR="00B934EE">
              <w:rPr>
                <w:noProof/>
                <w:webHidden/>
              </w:rPr>
              <w:instrText xml:space="preserve"> PAGEREF _Toc222345220 \h </w:instrText>
            </w:r>
            <w:r w:rsidR="00B934EE">
              <w:rPr>
                <w:noProof/>
                <w:webHidden/>
              </w:rPr>
            </w:r>
            <w:r w:rsidR="00B934EE">
              <w:rPr>
                <w:noProof/>
                <w:webHidden/>
              </w:rPr>
              <w:fldChar w:fldCharType="separate"/>
            </w:r>
            <w:r w:rsidR="00B56099">
              <w:rPr>
                <w:noProof/>
                <w:webHidden/>
              </w:rPr>
              <w:t>2</w:t>
            </w:r>
            <w:r w:rsidR="00B934EE">
              <w:rPr>
                <w:noProof/>
                <w:webHidden/>
              </w:rPr>
              <w:fldChar w:fldCharType="end"/>
            </w:r>
          </w:hyperlink>
        </w:p>
        <w:p w14:paraId="2216E29F" w14:textId="6F34ADE0" w:rsidR="00B934EE" w:rsidRDefault="00737ED8">
          <w:pPr>
            <w:pStyle w:val="12"/>
            <w:tabs>
              <w:tab w:val="left" w:pos="480"/>
              <w:tab w:val="right" w:leader="dot" w:pos="9344"/>
            </w:tabs>
            <w:rPr>
              <w:rFonts w:asciiTheme="minorHAnsi" w:eastAsiaTheme="minorEastAsia" w:hAnsiTheme="minorHAnsi"/>
              <w:noProof/>
              <w:sz w:val="24"/>
              <w:szCs w:val="24"/>
              <w:lang w:eastAsia="ru-RU"/>
            </w:rPr>
          </w:pPr>
          <w:hyperlink w:anchor="_Toc222345221" w:history="1">
            <w:r w:rsidR="00B934EE" w:rsidRPr="00914765">
              <w:rPr>
                <w:rStyle w:val="ac"/>
                <w:rFonts w:cs="Times New Roman"/>
                <w:b/>
                <w:noProof/>
                <w:kern w:val="0"/>
                <w14:ligatures w14:val="none"/>
              </w:rPr>
              <w:t>2.</w:t>
            </w:r>
            <w:r w:rsidR="00B934EE">
              <w:rPr>
                <w:rFonts w:asciiTheme="minorHAnsi" w:eastAsiaTheme="minorEastAsia" w:hAnsiTheme="minorHAnsi"/>
                <w:noProof/>
                <w:sz w:val="24"/>
                <w:szCs w:val="24"/>
                <w:lang w:eastAsia="ru-RU"/>
              </w:rPr>
              <w:tab/>
            </w:r>
            <w:r w:rsidR="00B934EE" w:rsidRPr="00914765">
              <w:rPr>
                <w:rStyle w:val="ac"/>
                <w:rFonts w:cs="Times New Roman"/>
                <w:b/>
                <w:noProof/>
                <w:kern w:val="0"/>
                <w14:ligatures w14:val="none"/>
              </w:rPr>
              <w:t>«ЕС поставил цель сократить чистые выбросы парниковых газов на 90% к 2040 году»</w:t>
            </w:r>
            <w:r w:rsidR="00B934EE">
              <w:rPr>
                <w:noProof/>
                <w:webHidden/>
              </w:rPr>
              <w:tab/>
            </w:r>
            <w:r w:rsidR="00B934EE">
              <w:rPr>
                <w:noProof/>
                <w:webHidden/>
              </w:rPr>
              <w:fldChar w:fldCharType="begin"/>
            </w:r>
            <w:r w:rsidR="00B934EE">
              <w:rPr>
                <w:noProof/>
                <w:webHidden/>
              </w:rPr>
              <w:instrText xml:space="preserve"> PAGEREF _Toc222345221 \h </w:instrText>
            </w:r>
            <w:r w:rsidR="00B934EE">
              <w:rPr>
                <w:noProof/>
                <w:webHidden/>
              </w:rPr>
            </w:r>
            <w:r w:rsidR="00B934EE">
              <w:rPr>
                <w:noProof/>
                <w:webHidden/>
              </w:rPr>
              <w:fldChar w:fldCharType="separate"/>
            </w:r>
            <w:r w:rsidR="00B56099">
              <w:rPr>
                <w:noProof/>
                <w:webHidden/>
              </w:rPr>
              <w:t>3</w:t>
            </w:r>
            <w:r w:rsidR="00B934EE">
              <w:rPr>
                <w:noProof/>
                <w:webHidden/>
              </w:rPr>
              <w:fldChar w:fldCharType="end"/>
            </w:r>
          </w:hyperlink>
        </w:p>
        <w:p w14:paraId="6300A309" w14:textId="2AFC0946" w:rsidR="00B934EE" w:rsidRDefault="00737ED8">
          <w:pPr>
            <w:pStyle w:val="12"/>
            <w:tabs>
              <w:tab w:val="left" w:pos="480"/>
              <w:tab w:val="right" w:leader="dot" w:pos="9344"/>
            </w:tabs>
            <w:rPr>
              <w:rFonts w:asciiTheme="minorHAnsi" w:eastAsiaTheme="minorEastAsia" w:hAnsiTheme="minorHAnsi"/>
              <w:noProof/>
              <w:sz w:val="24"/>
              <w:szCs w:val="24"/>
              <w:lang w:eastAsia="ru-RU"/>
            </w:rPr>
          </w:pPr>
          <w:hyperlink w:anchor="_Toc222345222" w:history="1">
            <w:r w:rsidR="00B934EE" w:rsidRPr="00914765">
              <w:rPr>
                <w:rStyle w:val="ac"/>
                <w:rFonts w:cs="Times New Roman"/>
                <w:b/>
                <w:noProof/>
                <w:kern w:val="0"/>
                <w14:ligatures w14:val="none"/>
              </w:rPr>
              <w:t>3.</w:t>
            </w:r>
            <w:r w:rsidR="00B934EE">
              <w:rPr>
                <w:rFonts w:asciiTheme="minorHAnsi" w:eastAsiaTheme="minorEastAsia" w:hAnsiTheme="minorHAnsi"/>
                <w:noProof/>
                <w:sz w:val="24"/>
                <w:szCs w:val="24"/>
                <w:lang w:eastAsia="ru-RU"/>
              </w:rPr>
              <w:tab/>
            </w:r>
            <w:r w:rsidR="00B934EE" w:rsidRPr="00914765">
              <w:rPr>
                <w:rStyle w:val="ac"/>
                <w:rFonts w:cs="Times New Roman"/>
                <w:b/>
                <w:noProof/>
                <w:kern w:val="0"/>
                <w14:ligatures w14:val="none"/>
              </w:rPr>
              <w:t>«Положительная корреляция между отчетностью об устойчивом развитии и финансовыми показателями»</w:t>
            </w:r>
            <w:r w:rsidR="00B934EE">
              <w:rPr>
                <w:noProof/>
                <w:webHidden/>
              </w:rPr>
              <w:tab/>
            </w:r>
            <w:r w:rsidR="00B934EE">
              <w:rPr>
                <w:noProof/>
                <w:webHidden/>
              </w:rPr>
              <w:fldChar w:fldCharType="begin"/>
            </w:r>
            <w:r w:rsidR="00B934EE">
              <w:rPr>
                <w:noProof/>
                <w:webHidden/>
              </w:rPr>
              <w:instrText xml:space="preserve"> PAGEREF _Toc222345222 \h </w:instrText>
            </w:r>
            <w:r w:rsidR="00B934EE">
              <w:rPr>
                <w:noProof/>
                <w:webHidden/>
              </w:rPr>
            </w:r>
            <w:r w:rsidR="00B934EE">
              <w:rPr>
                <w:noProof/>
                <w:webHidden/>
              </w:rPr>
              <w:fldChar w:fldCharType="separate"/>
            </w:r>
            <w:r w:rsidR="00B56099">
              <w:rPr>
                <w:noProof/>
                <w:webHidden/>
              </w:rPr>
              <w:t>5</w:t>
            </w:r>
            <w:r w:rsidR="00B934EE">
              <w:rPr>
                <w:noProof/>
                <w:webHidden/>
              </w:rPr>
              <w:fldChar w:fldCharType="end"/>
            </w:r>
          </w:hyperlink>
        </w:p>
        <w:p w14:paraId="2A7B6FBB" w14:textId="70CD8E36" w:rsidR="00B934EE" w:rsidRDefault="00737ED8">
          <w:pPr>
            <w:pStyle w:val="12"/>
            <w:tabs>
              <w:tab w:val="left" w:pos="480"/>
              <w:tab w:val="right" w:leader="dot" w:pos="9344"/>
            </w:tabs>
            <w:rPr>
              <w:rFonts w:asciiTheme="minorHAnsi" w:eastAsiaTheme="minorEastAsia" w:hAnsiTheme="minorHAnsi"/>
              <w:noProof/>
              <w:sz w:val="24"/>
              <w:szCs w:val="24"/>
              <w:lang w:eastAsia="ru-RU"/>
            </w:rPr>
          </w:pPr>
          <w:hyperlink w:anchor="_Toc222345223" w:history="1">
            <w:r w:rsidR="00B934EE" w:rsidRPr="00914765">
              <w:rPr>
                <w:rStyle w:val="ac"/>
                <w:rFonts w:cs="Times New Roman"/>
                <w:b/>
                <w:noProof/>
                <w:kern w:val="0"/>
                <w14:ligatures w14:val="none"/>
              </w:rPr>
              <w:t>4.</w:t>
            </w:r>
            <w:r w:rsidR="00B934EE">
              <w:rPr>
                <w:rFonts w:asciiTheme="minorHAnsi" w:eastAsiaTheme="minorEastAsia" w:hAnsiTheme="minorHAnsi"/>
                <w:noProof/>
                <w:sz w:val="24"/>
                <w:szCs w:val="24"/>
                <w:lang w:eastAsia="ru-RU"/>
              </w:rPr>
              <w:tab/>
            </w:r>
            <w:r w:rsidR="00B934EE" w:rsidRPr="00914765">
              <w:rPr>
                <w:rStyle w:val="ac"/>
                <w:rFonts w:cs="Times New Roman"/>
                <w:b/>
                <w:noProof/>
                <w:kern w:val="0"/>
                <w14:ligatures w14:val="none"/>
              </w:rPr>
              <w:t>Спрос на глобальные страховые программы в условиях фрагментации усиливается, однако их проектирование требует более взвешенного подхода.</w:t>
            </w:r>
            <w:r w:rsidR="00B934EE">
              <w:rPr>
                <w:noProof/>
                <w:webHidden/>
              </w:rPr>
              <w:tab/>
            </w:r>
            <w:r w:rsidR="00B934EE">
              <w:rPr>
                <w:noProof/>
                <w:webHidden/>
              </w:rPr>
              <w:fldChar w:fldCharType="begin"/>
            </w:r>
            <w:r w:rsidR="00B934EE">
              <w:rPr>
                <w:noProof/>
                <w:webHidden/>
              </w:rPr>
              <w:instrText xml:space="preserve"> PAGEREF _Toc222345223 \h </w:instrText>
            </w:r>
            <w:r w:rsidR="00B934EE">
              <w:rPr>
                <w:noProof/>
                <w:webHidden/>
              </w:rPr>
            </w:r>
            <w:r w:rsidR="00B934EE">
              <w:rPr>
                <w:noProof/>
                <w:webHidden/>
              </w:rPr>
              <w:fldChar w:fldCharType="separate"/>
            </w:r>
            <w:r w:rsidR="00B56099">
              <w:rPr>
                <w:noProof/>
                <w:webHidden/>
              </w:rPr>
              <w:t>6</w:t>
            </w:r>
            <w:r w:rsidR="00B934EE">
              <w:rPr>
                <w:noProof/>
                <w:webHidden/>
              </w:rPr>
              <w:fldChar w:fldCharType="end"/>
            </w:r>
          </w:hyperlink>
        </w:p>
        <w:p w14:paraId="5C7A1C25" w14:textId="59577900" w:rsidR="00B934EE" w:rsidRDefault="00737ED8">
          <w:pPr>
            <w:pStyle w:val="12"/>
            <w:tabs>
              <w:tab w:val="left" w:pos="480"/>
              <w:tab w:val="right" w:leader="dot" w:pos="9344"/>
            </w:tabs>
            <w:rPr>
              <w:rFonts w:asciiTheme="minorHAnsi" w:eastAsiaTheme="minorEastAsia" w:hAnsiTheme="minorHAnsi"/>
              <w:noProof/>
              <w:sz w:val="24"/>
              <w:szCs w:val="24"/>
              <w:lang w:eastAsia="ru-RU"/>
            </w:rPr>
          </w:pPr>
          <w:hyperlink w:anchor="_Toc222345224" w:history="1">
            <w:r w:rsidR="00B934EE" w:rsidRPr="00914765">
              <w:rPr>
                <w:rStyle w:val="ac"/>
                <w:rFonts w:cs="Times New Roman"/>
                <w:b/>
                <w:noProof/>
                <w:kern w:val="0"/>
                <w14:ligatures w14:val="none"/>
              </w:rPr>
              <w:t>5.</w:t>
            </w:r>
            <w:r w:rsidR="00B934EE">
              <w:rPr>
                <w:rFonts w:asciiTheme="minorHAnsi" w:eastAsiaTheme="minorEastAsia" w:hAnsiTheme="minorHAnsi"/>
                <w:noProof/>
                <w:sz w:val="24"/>
                <w:szCs w:val="24"/>
                <w:lang w:eastAsia="ru-RU"/>
              </w:rPr>
              <w:tab/>
            </w:r>
            <w:r w:rsidR="00B934EE" w:rsidRPr="00914765">
              <w:rPr>
                <w:rStyle w:val="ac"/>
                <w:rFonts w:cs="Times New Roman"/>
                <w:b/>
                <w:noProof/>
                <w:kern w:val="0"/>
                <w14:ligatures w14:val="none"/>
              </w:rPr>
              <w:t>Риск-аппетит играет ключевую роль в принятии решений о страховом покрытии в условиях смягчения рынка – мнение швейцарских риск-менеджеров SIRM.</w:t>
            </w:r>
            <w:r w:rsidR="00B934EE">
              <w:rPr>
                <w:noProof/>
                <w:webHidden/>
              </w:rPr>
              <w:tab/>
            </w:r>
            <w:r w:rsidR="00B934EE">
              <w:rPr>
                <w:noProof/>
                <w:webHidden/>
              </w:rPr>
              <w:fldChar w:fldCharType="begin"/>
            </w:r>
            <w:r w:rsidR="00B934EE">
              <w:rPr>
                <w:noProof/>
                <w:webHidden/>
              </w:rPr>
              <w:instrText xml:space="preserve"> PAGEREF _Toc222345224 \h </w:instrText>
            </w:r>
            <w:r w:rsidR="00B934EE">
              <w:rPr>
                <w:noProof/>
                <w:webHidden/>
              </w:rPr>
            </w:r>
            <w:r w:rsidR="00B934EE">
              <w:rPr>
                <w:noProof/>
                <w:webHidden/>
              </w:rPr>
              <w:fldChar w:fldCharType="separate"/>
            </w:r>
            <w:r w:rsidR="00B56099">
              <w:rPr>
                <w:noProof/>
                <w:webHidden/>
              </w:rPr>
              <w:t>7</w:t>
            </w:r>
            <w:r w:rsidR="00B934EE">
              <w:rPr>
                <w:noProof/>
                <w:webHidden/>
              </w:rPr>
              <w:fldChar w:fldCharType="end"/>
            </w:r>
          </w:hyperlink>
        </w:p>
        <w:p w14:paraId="53968EA8" w14:textId="5C2FD050" w:rsidR="00B934EE" w:rsidRDefault="00737ED8">
          <w:pPr>
            <w:pStyle w:val="12"/>
            <w:tabs>
              <w:tab w:val="left" w:pos="480"/>
              <w:tab w:val="right" w:leader="dot" w:pos="9344"/>
            </w:tabs>
            <w:rPr>
              <w:rFonts w:asciiTheme="minorHAnsi" w:eastAsiaTheme="minorEastAsia" w:hAnsiTheme="minorHAnsi"/>
              <w:noProof/>
              <w:sz w:val="24"/>
              <w:szCs w:val="24"/>
              <w:lang w:eastAsia="ru-RU"/>
            </w:rPr>
          </w:pPr>
          <w:hyperlink w:anchor="_Toc222345225" w:history="1">
            <w:r w:rsidR="00B934EE" w:rsidRPr="00914765">
              <w:rPr>
                <w:rStyle w:val="ac"/>
                <w:rFonts w:cs="Times New Roman"/>
                <w:b/>
                <w:noProof/>
                <w:kern w:val="0"/>
                <w14:ligatures w14:val="none"/>
              </w:rPr>
              <w:t>6.</w:t>
            </w:r>
            <w:r w:rsidR="00B934EE">
              <w:rPr>
                <w:rFonts w:asciiTheme="minorHAnsi" w:eastAsiaTheme="minorEastAsia" w:hAnsiTheme="minorHAnsi"/>
                <w:noProof/>
                <w:sz w:val="24"/>
                <w:szCs w:val="24"/>
                <w:lang w:eastAsia="ru-RU"/>
              </w:rPr>
              <w:tab/>
            </w:r>
            <w:r w:rsidR="00B934EE" w:rsidRPr="00914765">
              <w:rPr>
                <w:rStyle w:val="ac"/>
                <w:rFonts w:cs="Times New Roman"/>
                <w:b/>
                <w:noProof/>
                <w:kern w:val="0"/>
                <w14:ligatures w14:val="none"/>
              </w:rPr>
              <w:t>Лондонский страховой рынок призывает регулятора ускорить проведение страховых реформ</w:t>
            </w:r>
            <w:r w:rsidR="00B934EE">
              <w:rPr>
                <w:noProof/>
                <w:webHidden/>
              </w:rPr>
              <w:tab/>
            </w:r>
            <w:r w:rsidR="00B934EE">
              <w:rPr>
                <w:noProof/>
                <w:webHidden/>
              </w:rPr>
              <w:fldChar w:fldCharType="begin"/>
            </w:r>
            <w:r w:rsidR="00B934EE">
              <w:rPr>
                <w:noProof/>
                <w:webHidden/>
              </w:rPr>
              <w:instrText xml:space="preserve"> PAGEREF _Toc222345225 \h </w:instrText>
            </w:r>
            <w:r w:rsidR="00B934EE">
              <w:rPr>
                <w:noProof/>
                <w:webHidden/>
              </w:rPr>
            </w:r>
            <w:r w:rsidR="00B934EE">
              <w:rPr>
                <w:noProof/>
                <w:webHidden/>
              </w:rPr>
              <w:fldChar w:fldCharType="separate"/>
            </w:r>
            <w:r w:rsidR="00B56099">
              <w:rPr>
                <w:noProof/>
                <w:webHidden/>
              </w:rPr>
              <w:t>9</w:t>
            </w:r>
            <w:r w:rsidR="00B934EE">
              <w:rPr>
                <w:noProof/>
                <w:webHidden/>
              </w:rPr>
              <w:fldChar w:fldCharType="end"/>
            </w:r>
          </w:hyperlink>
        </w:p>
        <w:p w14:paraId="51EBAD5B" w14:textId="04523838" w:rsidR="00B934EE" w:rsidRDefault="00737ED8">
          <w:pPr>
            <w:pStyle w:val="12"/>
            <w:tabs>
              <w:tab w:val="left" w:pos="480"/>
              <w:tab w:val="right" w:leader="dot" w:pos="9344"/>
            </w:tabs>
            <w:rPr>
              <w:rFonts w:asciiTheme="minorHAnsi" w:eastAsiaTheme="minorEastAsia" w:hAnsiTheme="minorHAnsi"/>
              <w:noProof/>
              <w:sz w:val="24"/>
              <w:szCs w:val="24"/>
              <w:lang w:eastAsia="ru-RU"/>
            </w:rPr>
          </w:pPr>
          <w:hyperlink w:anchor="_Toc222345226" w:history="1">
            <w:r w:rsidR="00B934EE" w:rsidRPr="00914765">
              <w:rPr>
                <w:rStyle w:val="ac"/>
                <w:rFonts w:cs="Times New Roman"/>
                <w:b/>
                <w:noProof/>
                <w:kern w:val="0"/>
                <w14:ligatures w14:val="none"/>
              </w:rPr>
              <w:t>7.</w:t>
            </w:r>
            <w:r w:rsidR="00B934EE">
              <w:rPr>
                <w:rFonts w:asciiTheme="minorHAnsi" w:eastAsiaTheme="minorEastAsia" w:hAnsiTheme="minorHAnsi"/>
                <w:noProof/>
                <w:sz w:val="24"/>
                <w:szCs w:val="24"/>
                <w:lang w:eastAsia="ru-RU"/>
              </w:rPr>
              <w:tab/>
            </w:r>
            <w:r w:rsidR="00B934EE" w:rsidRPr="00914765">
              <w:rPr>
                <w:rStyle w:val="ac"/>
                <w:rFonts w:cs="Times New Roman"/>
                <w:b/>
                <w:noProof/>
                <w:kern w:val="0"/>
                <w14:ligatures w14:val="none"/>
              </w:rPr>
              <w:t>Европейский парламент и Совет ЕС договорились о сокращении требований Директивы по корпоративной отчётности в области устойчивого развития и Директивы о должной проверке в области устойчивого развития</w:t>
            </w:r>
            <w:r w:rsidR="00B934EE">
              <w:rPr>
                <w:noProof/>
                <w:webHidden/>
              </w:rPr>
              <w:tab/>
            </w:r>
            <w:r w:rsidR="00B934EE">
              <w:rPr>
                <w:noProof/>
                <w:webHidden/>
              </w:rPr>
              <w:fldChar w:fldCharType="begin"/>
            </w:r>
            <w:r w:rsidR="00B934EE">
              <w:rPr>
                <w:noProof/>
                <w:webHidden/>
              </w:rPr>
              <w:instrText xml:space="preserve"> PAGEREF _Toc222345226 \h </w:instrText>
            </w:r>
            <w:r w:rsidR="00B934EE">
              <w:rPr>
                <w:noProof/>
                <w:webHidden/>
              </w:rPr>
            </w:r>
            <w:r w:rsidR="00B934EE">
              <w:rPr>
                <w:noProof/>
                <w:webHidden/>
              </w:rPr>
              <w:fldChar w:fldCharType="separate"/>
            </w:r>
            <w:r w:rsidR="00B56099">
              <w:rPr>
                <w:noProof/>
                <w:webHidden/>
              </w:rPr>
              <w:t>10</w:t>
            </w:r>
            <w:r w:rsidR="00B934EE">
              <w:rPr>
                <w:noProof/>
                <w:webHidden/>
              </w:rPr>
              <w:fldChar w:fldCharType="end"/>
            </w:r>
          </w:hyperlink>
        </w:p>
        <w:p w14:paraId="59664C3B" w14:textId="72D240B5" w:rsidR="00B934EE" w:rsidRDefault="00737ED8">
          <w:pPr>
            <w:pStyle w:val="12"/>
            <w:tabs>
              <w:tab w:val="left" w:pos="480"/>
              <w:tab w:val="right" w:leader="dot" w:pos="9344"/>
            </w:tabs>
            <w:rPr>
              <w:rFonts w:asciiTheme="minorHAnsi" w:eastAsiaTheme="minorEastAsia" w:hAnsiTheme="minorHAnsi"/>
              <w:noProof/>
              <w:sz w:val="24"/>
              <w:szCs w:val="24"/>
              <w:lang w:eastAsia="ru-RU"/>
            </w:rPr>
          </w:pPr>
          <w:hyperlink w:anchor="_Toc222345227" w:history="1">
            <w:r w:rsidR="00B934EE" w:rsidRPr="00914765">
              <w:rPr>
                <w:rStyle w:val="ac"/>
                <w:rFonts w:cs="Times New Roman"/>
                <w:b/>
                <w:noProof/>
                <w:kern w:val="0"/>
                <w14:ligatures w14:val="none"/>
              </w:rPr>
              <w:t>8.</w:t>
            </w:r>
            <w:r w:rsidR="00B934EE">
              <w:rPr>
                <w:rFonts w:asciiTheme="minorHAnsi" w:eastAsiaTheme="minorEastAsia" w:hAnsiTheme="minorHAnsi"/>
                <w:noProof/>
                <w:sz w:val="24"/>
                <w:szCs w:val="24"/>
                <w:lang w:eastAsia="ru-RU"/>
              </w:rPr>
              <w:tab/>
            </w:r>
            <w:r w:rsidR="00B934EE" w:rsidRPr="00914765">
              <w:rPr>
                <w:rStyle w:val="ac"/>
                <w:rFonts w:cs="Times New Roman"/>
                <w:b/>
                <w:noProof/>
                <w:kern w:val="0"/>
                <w14:ligatures w14:val="none"/>
              </w:rPr>
              <w:t>Страховщики стремятся исключить покрытие ответственности за искусственный интеллект</w:t>
            </w:r>
            <w:r w:rsidR="00B934EE">
              <w:rPr>
                <w:noProof/>
                <w:webHidden/>
              </w:rPr>
              <w:tab/>
            </w:r>
            <w:r w:rsidR="00B934EE">
              <w:rPr>
                <w:noProof/>
                <w:webHidden/>
              </w:rPr>
              <w:fldChar w:fldCharType="begin"/>
            </w:r>
            <w:r w:rsidR="00B934EE">
              <w:rPr>
                <w:noProof/>
                <w:webHidden/>
              </w:rPr>
              <w:instrText xml:space="preserve"> PAGEREF _Toc222345227 \h </w:instrText>
            </w:r>
            <w:r w:rsidR="00B934EE">
              <w:rPr>
                <w:noProof/>
                <w:webHidden/>
              </w:rPr>
            </w:r>
            <w:r w:rsidR="00B934EE">
              <w:rPr>
                <w:noProof/>
                <w:webHidden/>
              </w:rPr>
              <w:fldChar w:fldCharType="separate"/>
            </w:r>
            <w:r w:rsidR="00B56099">
              <w:rPr>
                <w:noProof/>
                <w:webHidden/>
              </w:rPr>
              <w:t>12</w:t>
            </w:r>
            <w:r w:rsidR="00B934EE">
              <w:rPr>
                <w:noProof/>
                <w:webHidden/>
              </w:rPr>
              <w:fldChar w:fldCharType="end"/>
            </w:r>
          </w:hyperlink>
        </w:p>
        <w:p w14:paraId="44875AE9" w14:textId="0E4B64D3" w:rsidR="00B934EE" w:rsidRDefault="00737ED8">
          <w:pPr>
            <w:pStyle w:val="12"/>
            <w:tabs>
              <w:tab w:val="left" w:pos="480"/>
              <w:tab w:val="right" w:leader="dot" w:pos="9344"/>
            </w:tabs>
            <w:rPr>
              <w:rFonts w:asciiTheme="minorHAnsi" w:eastAsiaTheme="minorEastAsia" w:hAnsiTheme="minorHAnsi"/>
              <w:noProof/>
              <w:sz w:val="24"/>
              <w:szCs w:val="24"/>
              <w:lang w:eastAsia="ru-RU"/>
            </w:rPr>
          </w:pPr>
          <w:hyperlink w:anchor="_Toc222345228" w:history="1">
            <w:r w:rsidR="00B934EE" w:rsidRPr="00914765">
              <w:rPr>
                <w:rStyle w:val="ac"/>
                <w:rFonts w:cs="Times New Roman"/>
                <w:b/>
                <w:noProof/>
                <w:kern w:val="0"/>
                <w14:ligatures w14:val="none"/>
              </w:rPr>
              <w:t>9.</w:t>
            </w:r>
            <w:r w:rsidR="00B934EE">
              <w:rPr>
                <w:rFonts w:asciiTheme="minorHAnsi" w:eastAsiaTheme="minorEastAsia" w:hAnsiTheme="minorHAnsi"/>
                <w:noProof/>
                <w:sz w:val="24"/>
                <w:szCs w:val="24"/>
                <w:lang w:eastAsia="ru-RU"/>
              </w:rPr>
              <w:tab/>
            </w:r>
            <w:r w:rsidR="00B934EE" w:rsidRPr="00914765">
              <w:rPr>
                <w:rStyle w:val="ac"/>
                <w:rFonts w:cs="Times New Roman"/>
                <w:b/>
                <w:noProof/>
                <w:kern w:val="0"/>
                <w14:ligatures w14:val="none"/>
              </w:rPr>
              <w:t>Директора и должностные лица сталкиваются с ростом риска исков в 2026 году – предупреждает Allianz Commercial</w:t>
            </w:r>
            <w:r w:rsidR="00B934EE">
              <w:rPr>
                <w:noProof/>
                <w:webHidden/>
              </w:rPr>
              <w:tab/>
            </w:r>
            <w:r w:rsidR="00B934EE">
              <w:rPr>
                <w:noProof/>
                <w:webHidden/>
              </w:rPr>
              <w:fldChar w:fldCharType="begin"/>
            </w:r>
            <w:r w:rsidR="00B934EE">
              <w:rPr>
                <w:noProof/>
                <w:webHidden/>
              </w:rPr>
              <w:instrText xml:space="preserve"> PAGEREF _Toc222345228 \h </w:instrText>
            </w:r>
            <w:r w:rsidR="00B934EE">
              <w:rPr>
                <w:noProof/>
                <w:webHidden/>
              </w:rPr>
            </w:r>
            <w:r w:rsidR="00B934EE">
              <w:rPr>
                <w:noProof/>
                <w:webHidden/>
              </w:rPr>
              <w:fldChar w:fldCharType="separate"/>
            </w:r>
            <w:r w:rsidR="00B56099">
              <w:rPr>
                <w:noProof/>
                <w:webHidden/>
              </w:rPr>
              <w:t>13</w:t>
            </w:r>
            <w:r w:rsidR="00B934EE">
              <w:rPr>
                <w:noProof/>
                <w:webHidden/>
              </w:rPr>
              <w:fldChar w:fldCharType="end"/>
            </w:r>
          </w:hyperlink>
        </w:p>
        <w:p w14:paraId="17B77091" w14:textId="0E0F1E23" w:rsidR="00B934EE" w:rsidRDefault="00737ED8">
          <w:pPr>
            <w:pStyle w:val="12"/>
            <w:tabs>
              <w:tab w:val="left" w:pos="720"/>
              <w:tab w:val="right" w:leader="dot" w:pos="9344"/>
            </w:tabs>
            <w:rPr>
              <w:rFonts w:asciiTheme="minorHAnsi" w:eastAsiaTheme="minorEastAsia" w:hAnsiTheme="minorHAnsi"/>
              <w:noProof/>
              <w:sz w:val="24"/>
              <w:szCs w:val="24"/>
              <w:lang w:eastAsia="ru-RU"/>
            </w:rPr>
          </w:pPr>
          <w:hyperlink w:anchor="_Toc222345229" w:history="1">
            <w:r w:rsidR="00B934EE" w:rsidRPr="00914765">
              <w:rPr>
                <w:rStyle w:val="ac"/>
                <w:rFonts w:cs="Times New Roman"/>
                <w:b/>
                <w:noProof/>
                <w:kern w:val="0"/>
                <w14:ligatures w14:val="none"/>
              </w:rPr>
              <w:t>10.</w:t>
            </w:r>
            <w:r w:rsidR="00B934EE">
              <w:rPr>
                <w:rFonts w:asciiTheme="minorHAnsi" w:eastAsiaTheme="minorEastAsia" w:hAnsiTheme="minorHAnsi"/>
                <w:noProof/>
                <w:sz w:val="24"/>
                <w:szCs w:val="24"/>
                <w:lang w:eastAsia="ru-RU"/>
              </w:rPr>
              <w:tab/>
            </w:r>
            <w:r w:rsidR="00B934EE" w:rsidRPr="00914765">
              <w:rPr>
                <w:rStyle w:val="ac"/>
                <w:rFonts w:cs="Times New Roman"/>
                <w:b/>
                <w:noProof/>
                <w:kern w:val="0"/>
                <w14:ligatures w14:val="none"/>
              </w:rPr>
              <w:t>Геоэкономическая конфронтация выходит на первое место в отчёте WEF по глобальным рискам</w:t>
            </w:r>
            <w:r w:rsidR="00B934EE">
              <w:rPr>
                <w:noProof/>
                <w:webHidden/>
              </w:rPr>
              <w:tab/>
            </w:r>
            <w:r w:rsidR="00B934EE">
              <w:rPr>
                <w:noProof/>
                <w:webHidden/>
              </w:rPr>
              <w:fldChar w:fldCharType="begin"/>
            </w:r>
            <w:r w:rsidR="00B934EE">
              <w:rPr>
                <w:noProof/>
                <w:webHidden/>
              </w:rPr>
              <w:instrText xml:space="preserve"> PAGEREF _Toc222345229 \h </w:instrText>
            </w:r>
            <w:r w:rsidR="00B934EE">
              <w:rPr>
                <w:noProof/>
                <w:webHidden/>
              </w:rPr>
            </w:r>
            <w:r w:rsidR="00B934EE">
              <w:rPr>
                <w:noProof/>
                <w:webHidden/>
              </w:rPr>
              <w:fldChar w:fldCharType="separate"/>
            </w:r>
            <w:r w:rsidR="00B56099">
              <w:rPr>
                <w:noProof/>
                <w:webHidden/>
              </w:rPr>
              <w:t>14</w:t>
            </w:r>
            <w:r w:rsidR="00B934EE">
              <w:rPr>
                <w:noProof/>
                <w:webHidden/>
              </w:rPr>
              <w:fldChar w:fldCharType="end"/>
            </w:r>
          </w:hyperlink>
        </w:p>
        <w:p w14:paraId="2806106F" w14:textId="73662EEF" w:rsidR="00274296" w:rsidRPr="00274296" w:rsidRDefault="00274296" w:rsidP="00D3273B">
          <w:pPr>
            <w:spacing w:after="0" w:line="276" w:lineRule="auto"/>
            <w:ind w:firstLine="851"/>
            <w:jc w:val="both"/>
            <w:rPr>
              <w:rFonts w:cs="Times New Roman"/>
              <w:szCs w:val="28"/>
            </w:rPr>
          </w:pPr>
          <w:r w:rsidRPr="00274296">
            <w:rPr>
              <w:rFonts w:cs="Times New Roman"/>
              <w:b/>
              <w:bCs/>
              <w:szCs w:val="28"/>
            </w:rPr>
            <w:fldChar w:fldCharType="end"/>
          </w:r>
        </w:p>
      </w:sdtContent>
    </w:sdt>
    <w:p w14:paraId="023BBD26" w14:textId="77777777" w:rsidR="00274296" w:rsidRPr="00274296" w:rsidRDefault="00274296" w:rsidP="00D3273B">
      <w:pPr>
        <w:spacing w:after="0" w:line="276" w:lineRule="auto"/>
        <w:ind w:firstLine="851"/>
        <w:jc w:val="both"/>
        <w:rPr>
          <w:rFonts w:eastAsiaTheme="majorEastAsia" w:cs="Times New Roman"/>
          <w:b/>
          <w:color w:val="000000" w:themeColor="text1"/>
          <w:kern w:val="0"/>
          <w:szCs w:val="28"/>
          <w14:ligatures w14:val="none"/>
        </w:rPr>
      </w:pPr>
      <w:r w:rsidRPr="00274296">
        <w:rPr>
          <w:rFonts w:cs="Times New Roman"/>
          <w:b/>
          <w:color w:val="000000" w:themeColor="text1"/>
          <w:kern w:val="0"/>
          <w:szCs w:val="28"/>
          <w14:ligatures w14:val="none"/>
        </w:rPr>
        <w:br w:type="page"/>
      </w:r>
    </w:p>
    <w:p w14:paraId="51403D6A" w14:textId="5A550BC1" w:rsidR="00E452FD" w:rsidRPr="00274296" w:rsidRDefault="00E452FD" w:rsidP="00E452FD">
      <w:pPr>
        <w:pStyle w:val="1"/>
        <w:spacing w:before="0" w:after="0" w:line="276" w:lineRule="auto"/>
        <w:ind w:firstLine="851"/>
        <w:jc w:val="both"/>
        <w:rPr>
          <w:rFonts w:ascii="Times New Roman" w:hAnsi="Times New Roman" w:cs="Times New Roman"/>
          <w:b/>
          <w:color w:val="000000" w:themeColor="text1"/>
          <w:kern w:val="0"/>
          <w:sz w:val="28"/>
          <w:szCs w:val="28"/>
          <w14:ligatures w14:val="none"/>
        </w:rPr>
      </w:pPr>
      <w:bookmarkStart w:id="0" w:name="_Toc222345220"/>
      <w:r w:rsidRPr="00274296">
        <w:rPr>
          <w:rFonts w:ascii="Times New Roman" w:hAnsi="Times New Roman" w:cs="Times New Roman"/>
          <w:b/>
          <w:color w:val="000000" w:themeColor="text1"/>
          <w:kern w:val="0"/>
          <w:sz w:val="28"/>
          <w:szCs w:val="28"/>
          <w14:ligatures w14:val="none"/>
        </w:rPr>
        <w:lastRenderedPageBreak/>
        <w:t>1.</w:t>
      </w:r>
      <w:r w:rsidRPr="00274296">
        <w:rPr>
          <w:rFonts w:ascii="Times New Roman" w:hAnsi="Times New Roman" w:cs="Times New Roman"/>
          <w:b/>
          <w:color w:val="000000" w:themeColor="text1"/>
          <w:kern w:val="0"/>
          <w:sz w:val="28"/>
          <w:szCs w:val="28"/>
          <w14:ligatures w14:val="none"/>
        </w:rPr>
        <w:tab/>
      </w:r>
      <w:r w:rsidR="00F8584C" w:rsidRPr="00F8584C">
        <w:rPr>
          <w:rFonts w:ascii="Times New Roman" w:hAnsi="Times New Roman" w:cs="Times New Roman"/>
          <w:b/>
          <w:color w:val="000000" w:themeColor="text1"/>
          <w:kern w:val="0"/>
          <w:sz w:val="28"/>
          <w:szCs w:val="28"/>
          <w14:ligatures w14:val="none"/>
        </w:rPr>
        <w:t xml:space="preserve">Компании </w:t>
      </w:r>
      <w:r w:rsidR="00F8584C">
        <w:rPr>
          <w:rFonts w:ascii="Times New Roman" w:hAnsi="Times New Roman" w:cs="Times New Roman"/>
          <w:b/>
          <w:color w:val="000000" w:themeColor="text1"/>
          <w:kern w:val="0"/>
          <w:sz w:val="28"/>
          <w:szCs w:val="28"/>
          <w14:ligatures w14:val="none"/>
        </w:rPr>
        <w:t>региона Европы, Ближнего Востока и Африки</w:t>
      </w:r>
      <w:r w:rsidR="00F8584C" w:rsidRPr="00F8584C">
        <w:rPr>
          <w:rFonts w:ascii="Times New Roman" w:hAnsi="Times New Roman" w:cs="Times New Roman"/>
          <w:b/>
          <w:color w:val="000000" w:themeColor="text1"/>
          <w:kern w:val="0"/>
          <w:sz w:val="28"/>
          <w:szCs w:val="28"/>
          <w14:ligatures w14:val="none"/>
        </w:rPr>
        <w:t xml:space="preserve"> отстают от коллег в использовании </w:t>
      </w:r>
      <w:r w:rsidR="00F8584C">
        <w:rPr>
          <w:rFonts w:ascii="Times New Roman" w:hAnsi="Times New Roman" w:cs="Times New Roman"/>
          <w:b/>
          <w:color w:val="000000" w:themeColor="text1"/>
          <w:kern w:val="0"/>
          <w:sz w:val="28"/>
          <w:szCs w:val="28"/>
          <w14:ligatures w14:val="none"/>
        </w:rPr>
        <w:t xml:space="preserve">страховой </w:t>
      </w:r>
      <w:r w:rsidR="00F8584C" w:rsidRPr="00F8584C">
        <w:rPr>
          <w:rFonts w:ascii="Times New Roman" w:hAnsi="Times New Roman" w:cs="Times New Roman"/>
          <w:b/>
          <w:color w:val="000000" w:themeColor="text1"/>
          <w:kern w:val="0"/>
          <w:sz w:val="28"/>
          <w:szCs w:val="28"/>
          <w14:ligatures w14:val="none"/>
        </w:rPr>
        <w:t>аналитики</w:t>
      </w:r>
      <w:bookmarkEnd w:id="0"/>
      <w:r w:rsidR="00F8584C" w:rsidRPr="00F8584C">
        <w:rPr>
          <w:rFonts w:ascii="Times New Roman" w:hAnsi="Times New Roman" w:cs="Times New Roman"/>
          <w:b/>
          <w:color w:val="000000" w:themeColor="text1"/>
          <w:kern w:val="0"/>
          <w:sz w:val="28"/>
          <w:szCs w:val="28"/>
          <w14:ligatures w14:val="none"/>
        </w:rPr>
        <w:t xml:space="preserve"> </w:t>
      </w:r>
    </w:p>
    <w:p w14:paraId="0B40C6C3" w14:textId="77777777" w:rsidR="00E452FD" w:rsidRPr="00E452FD" w:rsidRDefault="00E452FD" w:rsidP="00E452FD">
      <w:pPr>
        <w:spacing w:after="0" w:line="276" w:lineRule="auto"/>
        <w:ind w:firstLine="851"/>
        <w:jc w:val="both"/>
        <w:rPr>
          <w:rFonts w:cs="Times New Roman"/>
          <w:bCs/>
          <w:color w:val="000000" w:themeColor="text1"/>
          <w:kern w:val="0"/>
          <w:szCs w:val="28"/>
          <w14:ligatures w14:val="none"/>
        </w:rPr>
      </w:pPr>
      <w:r w:rsidRPr="00E452FD">
        <w:rPr>
          <w:rFonts w:cs="Times New Roman"/>
          <w:bCs/>
          <w:color w:val="000000" w:themeColor="text1"/>
          <w:kern w:val="0"/>
          <w:szCs w:val="28"/>
          <w14:ligatures w14:val="none"/>
        </w:rPr>
        <w:t>В статье рассматриваются результаты исследования страхового брокера «</w:t>
      </w:r>
      <w:proofErr w:type="spellStart"/>
      <w:r w:rsidRPr="00E452FD">
        <w:rPr>
          <w:rFonts w:cs="Times New Roman"/>
          <w:bCs/>
          <w:color w:val="000000" w:themeColor="text1"/>
          <w:kern w:val="0"/>
          <w:szCs w:val="28"/>
          <w14:ligatures w14:val="none"/>
        </w:rPr>
        <w:t>Аон</w:t>
      </w:r>
      <w:proofErr w:type="spellEnd"/>
      <w:r w:rsidRPr="00E452FD">
        <w:rPr>
          <w:rFonts w:cs="Times New Roman"/>
          <w:bCs/>
          <w:color w:val="000000" w:themeColor="text1"/>
          <w:kern w:val="0"/>
          <w:szCs w:val="28"/>
          <w14:ligatures w14:val="none"/>
        </w:rPr>
        <w:t>» (</w:t>
      </w:r>
      <w:proofErr w:type="spellStart"/>
      <w:r w:rsidRPr="00E452FD">
        <w:rPr>
          <w:rFonts w:cs="Times New Roman"/>
          <w:bCs/>
          <w:color w:val="000000" w:themeColor="text1"/>
          <w:kern w:val="0"/>
          <w:szCs w:val="28"/>
          <w14:ligatures w14:val="none"/>
        </w:rPr>
        <w:t>Aon</w:t>
      </w:r>
      <w:proofErr w:type="spellEnd"/>
      <w:r w:rsidRPr="00E452FD">
        <w:rPr>
          <w:rFonts w:cs="Times New Roman"/>
          <w:bCs/>
          <w:color w:val="000000" w:themeColor="text1"/>
          <w:kern w:val="0"/>
          <w:szCs w:val="28"/>
          <w14:ligatures w14:val="none"/>
        </w:rPr>
        <w:t xml:space="preserve">), посвящённого использованию аналитики в управлении рисками и страховании в регионе Европы, Ближнего Востока и Африки (EMEA). Отмечается, что компании данного региона отстают от общемировых показателей: лишь 15% </w:t>
      </w:r>
      <w:proofErr w:type="gramStart"/>
      <w:r w:rsidRPr="00E452FD">
        <w:rPr>
          <w:rFonts w:cs="Times New Roman"/>
          <w:bCs/>
          <w:color w:val="000000" w:themeColor="text1"/>
          <w:kern w:val="0"/>
          <w:szCs w:val="28"/>
          <w14:ligatures w14:val="none"/>
        </w:rPr>
        <w:t>риск-менеджеров</w:t>
      </w:r>
      <w:proofErr w:type="gramEnd"/>
      <w:r w:rsidRPr="00E452FD">
        <w:rPr>
          <w:rFonts w:cs="Times New Roman"/>
          <w:bCs/>
          <w:color w:val="000000" w:themeColor="text1"/>
          <w:kern w:val="0"/>
          <w:szCs w:val="28"/>
          <w14:ligatures w14:val="none"/>
        </w:rPr>
        <w:t xml:space="preserve"> применяют аналитические инструменты для оценки эффективности страховых программ, тогда как в мире этот показатель составляет 19%.</w:t>
      </w:r>
    </w:p>
    <w:p w14:paraId="15BE1795" w14:textId="43D9A199" w:rsidR="00E452FD" w:rsidRPr="00E452FD" w:rsidRDefault="00D1148D" w:rsidP="00E452FD">
      <w:pPr>
        <w:spacing w:after="0" w:line="276" w:lineRule="auto"/>
        <w:ind w:firstLine="851"/>
        <w:jc w:val="both"/>
        <w:rPr>
          <w:rFonts w:cs="Times New Roman"/>
          <w:bCs/>
          <w:color w:val="000000" w:themeColor="text1"/>
          <w:kern w:val="0"/>
          <w:szCs w:val="28"/>
          <w14:ligatures w14:val="none"/>
        </w:rPr>
      </w:pPr>
      <w:r w:rsidRPr="00D1148D">
        <w:rPr>
          <w:rFonts w:cs="Times New Roman"/>
          <w:bCs/>
          <w:color w:val="000000" w:themeColor="text1"/>
          <w:kern w:val="0"/>
          <w:szCs w:val="28"/>
          <w14:ligatures w14:val="none"/>
        </w:rPr>
        <w:t>Автор подчеркивает, что при росте требований со стороны высшего руководства компании ожидают от своих партнёров по управлению рисками (</w:t>
      </w:r>
      <w:proofErr w:type="spellStart"/>
      <w:r w:rsidRPr="00D1148D">
        <w:rPr>
          <w:rFonts w:cs="Times New Roman"/>
          <w:bCs/>
          <w:color w:val="000000" w:themeColor="text1"/>
          <w:kern w:val="0"/>
          <w:szCs w:val="28"/>
          <w14:ligatures w14:val="none"/>
        </w:rPr>
        <w:t>risk</w:t>
      </w:r>
      <w:proofErr w:type="spellEnd"/>
      <w:r w:rsidRPr="00D1148D">
        <w:rPr>
          <w:rFonts w:cs="Times New Roman"/>
          <w:bCs/>
          <w:color w:val="000000" w:themeColor="text1"/>
          <w:kern w:val="0"/>
          <w:szCs w:val="28"/>
          <w14:ligatures w14:val="none"/>
        </w:rPr>
        <w:t xml:space="preserve"> </w:t>
      </w:r>
      <w:proofErr w:type="spellStart"/>
      <w:r w:rsidRPr="00D1148D">
        <w:rPr>
          <w:rFonts w:cs="Times New Roman"/>
          <w:bCs/>
          <w:color w:val="000000" w:themeColor="text1"/>
          <w:kern w:val="0"/>
          <w:szCs w:val="28"/>
          <w14:ligatures w14:val="none"/>
        </w:rPr>
        <w:t>transfer</w:t>
      </w:r>
      <w:proofErr w:type="spellEnd"/>
      <w:r w:rsidRPr="00D1148D">
        <w:rPr>
          <w:rFonts w:cs="Times New Roman"/>
          <w:bCs/>
          <w:color w:val="000000" w:themeColor="text1"/>
          <w:kern w:val="0"/>
          <w:szCs w:val="28"/>
          <w14:ligatures w14:val="none"/>
        </w:rPr>
        <w:t xml:space="preserve"> </w:t>
      </w:r>
      <w:proofErr w:type="spellStart"/>
      <w:r w:rsidRPr="00D1148D">
        <w:rPr>
          <w:rFonts w:cs="Times New Roman"/>
          <w:bCs/>
          <w:color w:val="000000" w:themeColor="text1"/>
          <w:kern w:val="0"/>
          <w:szCs w:val="28"/>
          <w14:ligatures w14:val="none"/>
        </w:rPr>
        <w:t>partners</w:t>
      </w:r>
      <w:proofErr w:type="spellEnd"/>
      <w:r w:rsidRPr="00D1148D">
        <w:rPr>
          <w:rFonts w:cs="Times New Roman"/>
          <w:bCs/>
          <w:color w:val="000000" w:themeColor="text1"/>
          <w:kern w:val="0"/>
          <w:szCs w:val="28"/>
          <w14:ligatures w14:val="none"/>
        </w:rPr>
        <w:t>) более сложных аналитических решений, способных работать в условиях нестабильной и сложной рисковой среды.</w:t>
      </w:r>
      <w:r w:rsidR="00E452FD" w:rsidRPr="00E452FD">
        <w:rPr>
          <w:rFonts w:cs="Times New Roman"/>
          <w:bCs/>
          <w:color w:val="000000" w:themeColor="text1"/>
          <w:kern w:val="0"/>
          <w:szCs w:val="28"/>
          <w14:ligatures w14:val="none"/>
        </w:rPr>
        <w:t xml:space="preserve"> Одновременно только 13% компаний региона </w:t>
      </w:r>
      <w:proofErr w:type="gramStart"/>
      <w:r w:rsidR="00E452FD" w:rsidRPr="00E452FD">
        <w:rPr>
          <w:rFonts w:cs="Times New Roman"/>
          <w:bCs/>
          <w:color w:val="000000" w:themeColor="text1"/>
          <w:kern w:val="0"/>
          <w:szCs w:val="28"/>
          <w14:ligatures w14:val="none"/>
        </w:rPr>
        <w:t>способны</w:t>
      </w:r>
      <w:proofErr w:type="gramEnd"/>
      <w:r w:rsidR="00E452FD" w:rsidRPr="00E452FD">
        <w:rPr>
          <w:rFonts w:cs="Times New Roman"/>
          <w:bCs/>
          <w:color w:val="000000" w:themeColor="text1"/>
          <w:kern w:val="0"/>
          <w:szCs w:val="28"/>
          <w14:ligatures w14:val="none"/>
        </w:rPr>
        <w:t xml:space="preserve"> корректно оценить свою подверженность десяти ключевым рискам, а большинство не может представить руководству количественную оценку возможных потерь.</w:t>
      </w:r>
    </w:p>
    <w:p w14:paraId="3CB25F84" w14:textId="51608538" w:rsidR="00E452FD" w:rsidRPr="00E452FD" w:rsidRDefault="00E452FD" w:rsidP="00E452FD">
      <w:pPr>
        <w:spacing w:after="0" w:line="276" w:lineRule="auto"/>
        <w:ind w:firstLine="851"/>
        <w:jc w:val="both"/>
        <w:rPr>
          <w:rFonts w:cs="Times New Roman"/>
          <w:bCs/>
          <w:color w:val="000000" w:themeColor="text1"/>
          <w:kern w:val="0"/>
          <w:szCs w:val="28"/>
          <w14:ligatures w14:val="none"/>
        </w:rPr>
      </w:pPr>
      <w:r w:rsidRPr="00E452FD">
        <w:rPr>
          <w:rFonts w:cs="Times New Roman"/>
          <w:bCs/>
          <w:color w:val="000000" w:themeColor="text1"/>
          <w:kern w:val="0"/>
          <w:szCs w:val="28"/>
          <w14:ligatures w14:val="none"/>
        </w:rPr>
        <w:t xml:space="preserve">Руководитель направления решений по коммерческим рискам в регионе EMEA Лука </w:t>
      </w:r>
      <w:proofErr w:type="spellStart"/>
      <w:r w:rsidRPr="00E452FD">
        <w:rPr>
          <w:rFonts w:cs="Times New Roman"/>
          <w:bCs/>
          <w:color w:val="000000" w:themeColor="text1"/>
          <w:kern w:val="0"/>
          <w:szCs w:val="28"/>
          <w14:ligatures w14:val="none"/>
        </w:rPr>
        <w:t>Тассаротти</w:t>
      </w:r>
      <w:proofErr w:type="spellEnd"/>
      <w:r w:rsidRPr="00E452FD">
        <w:rPr>
          <w:rFonts w:cs="Times New Roman"/>
          <w:bCs/>
          <w:color w:val="000000" w:themeColor="text1"/>
          <w:kern w:val="0"/>
          <w:szCs w:val="28"/>
          <w14:ligatures w14:val="none"/>
        </w:rPr>
        <w:t xml:space="preserve"> подчёркивает необходимость перехода </w:t>
      </w:r>
      <w:proofErr w:type="gramStart"/>
      <w:r w:rsidRPr="00E452FD">
        <w:rPr>
          <w:rFonts w:cs="Times New Roman"/>
          <w:bCs/>
          <w:color w:val="000000" w:themeColor="text1"/>
          <w:kern w:val="0"/>
          <w:szCs w:val="28"/>
          <w14:ligatures w14:val="none"/>
        </w:rPr>
        <w:t>от</w:t>
      </w:r>
      <w:proofErr w:type="gramEnd"/>
      <w:r w:rsidRPr="00E452FD">
        <w:rPr>
          <w:rFonts w:cs="Times New Roman"/>
          <w:bCs/>
          <w:color w:val="000000" w:themeColor="text1"/>
          <w:kern w:val="0"/>
          <w:szCs w:val="28"/>
          <w14:ligatures w14:val="none"/>
        </w:rPr>
        <w:t xml:space="preserve"> реактивного к </w:t>
      </w:r>
      <w:proofErr w:type="spellStart"/>
      <w:r w:rsidRPr="00E452FD">
        <w:rPr>
          <w:rFonts w:cs="Times New Roman"/>
          <w:bCs/>
          <w:color w:val="000000" w:themeColor="text1"/>
          <w:kern w:val="0"/>
          <w:szCs w:val="28"/>
          <w14:ligatures w14:val="none"/>
        </w:rPr>
        <w:t>проактивному</w:t>
      </w:r>
      <w:proofErr w:type="spellEnd"/>
      <w:r w:rsidRPr="00E452FD">
        <w:rPr>
          <w:rFonts w:cs="Times New Roman"/>
          <w:bCs/>
          <w:color w:val="000000" w:themeColor="text1"/>
          <w:kern w:val="0"/>
          <w:szCs w:val="28"/>
          <w14:ligatures w14:val="none"/>
        </w:rPr>
        <w:t xml:space="preserve"> управлению рисками. По его словам, ранее страховые программы строились на основе </w:t>
      </w:r>
      <w:r w:rsidR="00F8584C">
        <w:rPr>
          <w:rFonts w:cs="Times New Roman"/>
          <w:bCs/>
          <w:color w:val="000000" w:themeColor="text1"/>
          <w:kern w:val="0"/>
          <w:szCs w:val="28"/>
          <w14:ligatures w14:val="none"/>
        </w:rPr>
        <w:t>страховых договоров прошлых лет</w:t>
      </w:r>
      <w:r w:rsidRPr="00E452FD">
        <w:rPr>
          <w:rFonts w:cs="Times New Roman"/>
          <w:bCs/>
          <w:color w:val="000000" w:themeColor="text1"/>
          <w:kern w:val="0"/>
          <w:szCs w:val="28"/>
          <w14:ligatures w14:val="none"/>
        </w:rPr>
        <w:t xml:space="preserve">, тогда как теперь требуется сначала выявить риск, оценить потенциальную подверженность, количественно определить возможный ущерб для деятельности компании и </w:t>
      </w:r>
      <w:proofErr w:type="gramStart"/>
      <w:r w:rsidRPr="00E452FD">
        <w:rPr>
          <w:rFonts w:cs="Times New Roman"/>
          <w:bCs/>
          <w:color w:val="000000" w:themeColor="text1"/>
          <w:kern w:val="0"/>
          <w:szCs w:val="28"/>
          <w14:ligatures w14:val="none"/>
        </w:rPr>
        <w:t>лишь</w:t>
      </w:r>
      <w:proofErr w:type="gramEnd"/>
      <w:r w:rsidRPr="00E452FD">
        <w:rPr>
          <w:rFonts w:cs="Times New Roman"/>
          <w:bCs/>
          <w:color w:val="000000" w:themeColor="text1"/>
          <w:kern w:val="0"/>
          <w:szCs w:val="28"/>
          <w14:ligatures w14:val="none"/>
        </w:rPr>
        <w:t xml:space="preserve"> затем формировать решения по передаче риска. В связи с этим возрастает значение сбора надёжных данных и их аналитической обработки, что позволяет определить, какие риски следует удерживать, а какие </w:t>
      </w:r>
      <w:r w:rsidR="00B934EE">
        <w:rPr>
          <w:rFonts w:cs="Times New Roman"/>
          <w:bCs/>
          <w:color w:val="000000" w:themeColor="text1"/>
          <w:kern w:val="0"/>
          <w:szCs w:val="28"/>
          <w14:ligatures w14:val="none"/>
        </w:rPr>
        <w:t>–</w:t>
      </w:r>
      <w:r w:rsidRPr="00E452FD">
        <w:rPr>
          <w:rFonts w:cs="Times New Roman"/>
          <w:bCs/>
          <w:color w:val="000000" w:themeColor="text1"/>
          <w:kern w:val="0"/>
          <w:szCs w:val="28"/>
          <w14:ligatures w14:val="none"/>
        </w:rPr>
        <w:t xml:space="preserve"> передавать страховщику.</w:t>
      </w:r>
    </w:p>
    <w:p w14:paraId="04E7EAC5" w14:textId="77777777" w:rsidR="00E452FD" w:rsidRPr="00E452FD" w:rsidRDefault="00E452FD" w:rsidP="00E452FD">
      <w:pPr>
        <w:spacing w:after="0" w:line="276" w:lineRule="auto"/>
        <w:ind w:firstLine="851"/>
        <w:jc w:val="both"/>
        <w:rPr>
          <w:rFonts w:cs="Times New Roman"/>
          <w:bCs/>
          <w:color w:val="000000" w:themeColor="text1"/>
          <w:kern w:val="0"/>
          <w:szCs w:val="28"/>
          <w14:ligatures w14:val="none"/>
        </w:rPr>
      </w:pPr>
      <w:r w:rsidRPr="00E452FD">
        <w:rPr>
          <w:rFonts w:cs="Times New Roman"/>
          <w:bCs/>
          <w:color w:val="000000" w:themeColor="text1"/>
          <w:kern w:val="0"/>
          <w:szCs w:val="28"/>
          <w14:ligatures w14:val="none"/>
        </w:rPr>
        <w:t xml:space="preserve">Автор подчёркивает, что компании, использующие такой подход, становятся более устойчивыми и привлекательными деловыми партнёрами. Недостаточное управление рисками, </w:t>
      </w:r>
      <w:proofErr w:type="gramStart"/>
      <w:r w:rsidRPr="00E452FD">
        <w:rPr>
          <w:rFonts w:cs="Times New Roman"/>
          <w:bCs/>
          <w:color w:val="000000" w:themeColor="text1"/>
          <w:kern w:val="0"/>
          <w:szCs w:val="28"/>
          <w14:ligatures w14:val="none"/>
        </w:rPr>
        <w:t>например</w:t>
      </w:r>
      <w:proofErr w:type="gramEnd"/>
      <w:r w:rsidRPr="00E452FD">
        <w:rPr>
          <w:rFonts w:cs="Times New Roman"/>
          <w:bCs/>
          <w:color w:val="000000" w:themeColor="text1"/>
          <w:kern w:val="0"/>
          <w:szCs w:val="28"/>
          <w14:ligatures w14:val="none"/>
        </w:rPr>
        <w:t xml:space="preserve"> в цепочках поставок, может привести к потере контрагентов, которые предпочтут более надёжных поставщиков.</w:t>
      </w:r>
    </w:p>
    <w:p w14:paraId="65F323D2" w14:textId="34F18BAD" w:rsidR="00E452FD" w:rsidRPr="00E452FD" w:rsidRDefault="00E452FD" w:rsidP="00E452FD">
      <w:pPr>
        <w:spacing w:after="0" w:line="276" w:lineRule="auto"/>
        <w:ind w:firstLine="851"/>
        <w:jc w:val="both"/>
        <w:rPr>
          <w:rFonts w:cs="Times New Roman"/>
          <w:bCs/>
          <w:color w:val="000000" w:themeColor="text1"/>
          <w:kern w:val="0"/>
          <w:szCs w:val="28"/>
          <w14:ligatures w14:val="none"/>
        </w:rPr>
      </w:pPr>
      <w:r w:rsidRPr="00E452FD">
        <w:rPr>
          <w:rFonts w:cs="Times New Roman"/>
          <w:bCs/>
          <w:color w:val="000000" w:themeColor="text1"/>
          <w:kern w:val="0"/>
          <w:szCs w:val="28"/>
          <w14:ligatures w14:val="none"/>
        </w:rPr>
        <w:t xml:space="preserve">В статье отмечается влияние четырёх ключевых </w:t>
      </w:r>
      <w:proofErr w:type="spellStart"/>
      <w:r w:rsidRPr="00E452FD">
        <w:rPr>
          <w:rFonts w:cs="Times New Roman"/>
          <w:bCs/>
          <w:color w:val="000000" w:themeColor="text1"/>
          <w:kern w:val="0"/>
          <w:szCs w:val="28"/>
          <w14:ligatures w14:val="none"/>
        </w:rPr>
        <w:t>мегатрендов</w:t>
      </w:r>
      <w:proofErr w:type="spellEnd"/>
      <w:r w:rsidRPr="00E452FD">
        <w:rPr>
          <w:rFonts w:cs="Times New Roman"/>
          <w:bCs/>
          <w:color w:val="000000" w:themeColor="text1"/>
          <w:kern w:val="0"/>
          <w:szCs w:val="28"/>
          <w14:ligatures w14:val="none"/>
        </w:rPr>
        <w:t xml:space="preserve"> </w:t>
      </w:r>
      <w:r w:rsidR="00F8584C">
        <w:rPr>
          <w:rFonts w:cs="Times New Roman"/>
          <w:bCs/>
          <w:color w:val="000000" w:themeColor="text1"/>
          <w:kern w:val="0"/>
          <w:szCs w:val="28"/>
          <w14:ligatures w14:val="none"/>
        </w:rPr>
        <w:t>–</w:t>
      </w:r>
      <w:r w:rsidRPr="00E452FD">
        <w:rPr>
          <w:rFonts w:cs="Times New Roman"/>
          <w:bCs/>
          <w:color w:val="000000" w:themeColor="text1"/>
          <w:kern w:val="0"/>
          <w:szCs w:val="28"/>
          <w14:ligatures w14:val="none"/>
        </w:rPr>
        <w:t xml:space="preserve"> мировой</w:t>
      </w:r>
      <w:r w:rsidR="00F8584C">
        <w:rPr>
          <w:rFonts w:cs="Times New Roman"/>
          <w:bCs/>
          <w:color w:val="000000" w:themeColor="text1"/>
          <w:kern w:val="0"/>
          <w:szCs w:val="28"/>
          <w14:ligatures w14:val="none"/>
        </w:rPr>
        <w:t xml:space="preserve"> </w:t>
      </w:r>
      <w:r w:rsidRPr="00E452FD">
        <w:rPr>
          <w:rFonts w:cs="Times New Roman"/>
          <w:bCs/>
          <w:color w:val="000000" w:themeColor="text1"/>
          <w:kern w:val="0"/>
          <w:szCs w:val="28"/>
          <w14:ligatures w14:val="none"/>
        </w:rPr>
        <w:t>торговли, технологий, климатических факторов и рынка труда</w:t>
      </w:r>
      <w:r w:rsidR="00F8584C">
        <w:rPr>
          <w:rFonts w:cs="Times New Roman"/>
          <w:bCs/>
          <w:color w:val="000000" w:themeColor="text1"/>
          <w:kern w:val="0"/>
          <w:szCs w:val="28"/>
          <w14:ligatures w14:val="none"/>
        </w:rPr>
        <w:t>,</w:t>
      </w:r>
      <w:r w:rsidRPr="00E452FD">
        <w:rPr>
          <w:rFonts w:cs="Times New Roman"/>
          <w:bCs/>
          <w:color w:val="000000" w:themeColor="text1"/>
          <w:kern w:val="0"/>
          <w:szCs w:val="28"/>
          <w14:ligatures w14:val="none"/>
        </w:rPr>
        <w:t xml:space="preserve"> которые одновременно создают новые риски и возможности. </w:t>
      </w:r>
      <w:r w:rsidR="00F8584C">
        <w:rPr>
          <w:rFonts w:cs="Times New Roman"/>
          <w:bCs/>
          <w:color w:val="000000" w:themeColor="text1"/>
          <w:kern w:val="0"/>
          <w:szCs w:val="28"/>
          <w14:ligatures w14:val="none"/>
        </w:rPr>
        <w:t>Т</w:t>
      </w:r>
      <w:r w:rsidRPr="00E452FD">
        <w:rPr>
          <w:rFonts w:cs="Times New Roman"/>
          <w:bCs/>
          <w:color w:val="000000" w:themeColor="text1"/>
          <w:kern w:val="0"/>
          <w:szCs w:val="28"/>
          <w14:ligatures w14:val="none"/>
        </w:rPr>
        <w:t xml:space="preserve">еперь </w:t>
      </w:r>
      <w:proofErr w:type="spellStart"/>
      <w:r w:rsidRPr="00E452FD">
        <w:rPr>
          <w:rFonts w:cs="Times New Roman"/>
          <w:bCs/>
          <w:color w:val="000000" w:themeColor="text1"/>
          <w:kern w:val="0"/>
          <w:szCs w:val="28"/>
          <w14:ligatures w14:val="none"/>
        </w:rPr>
        <w:t>проактивное</w:t>
      </w:r>
      <w:proofErr w:type="spellEnd"/>
      <w:r w:rsidRPr="00E452FD">
        <w:rPr>
          <w:rFonts w:cs="Times New Roman"/>
          <w:bCs/>
          <w:color w:val="000000" w:themeColor="text1"/>
          <w:kern w:val="0"/>
          <w:szCs w:val="28"/>
          <w14:ligatures w14:val="none"/>
        </w:rPr>
        <w:t xml:space="preserve"> понимание подверженности рискам становится необходимым условием устойчивого развития и конкурентоспособности.</w:t>
      </w:r>
    </w:p>
    <w:p w14:paraId="49607221" w14:textId="5E87D9F9" w:rsidR="00E452FD" w:rsidRDefault="00E452FD" w:rsidP="00E452FD">
      <w:pPr>
        <w:spacing w:after="0" w:line="276" w:lineRule="auto"/>
        <w:ind w:firstLine="851"/>
        <w:jc w:val="both"/>
        <w:rPr>
          <w:rFonts w:cs="Times New Roman"/>
          <w:bCs/>
          <w:color w:val="000000" w:themeColor="text1"/>
          <w:kern w:val="0"/>
          <w:szCs w:val="28"/>
          <w14:ligatures w14:val="none"/>
        </w:rPr>
      </w:pPr>
      <w:r w:rsidRPr="00E452FD">
        <w:rPr>
          <w:rFonts w:cs="Times New Roman"/>
          <w:bCs/>
          <w:color w:val="000000" w:themeColor="text1"/>
          <w:kern w:val="0"/>
          <w:szCs w:val="28"/>
          <w14:ligatures w14:val="none"/>
        </w:rPr>
        <w:t xml:space="preserve">Согласно исследованию, наиболее значимыми рисками в регионе EMEA остаются </w:t>
      </w:r>
      <w:proofErr w:type="spellStart"/>
      <w:r w:rsidRPr="00E452FD">
        <w:rPr>
          <w:rFonts w:cs="Times New Roman"/>
          <w:bCs/>
          <w:color w:val="000000" w:themeColor="text1"/>
          <w:kern w:val="0"/>
          <w:szCs w:val="28"/>
          <w14:ligatures w14:val="none"/>
        </w:rPr>
        <w:t>кибератаки</w:t>
      </w:r>
      <w:proofErr w:type="spellEnd"/>
      <w:r w:rsidRPr="00E452FD">
        <w:rPr>
          <w:rFonts w:cs="Times New Roman"/>
          <w:bCs/>
          <w:color w:val="000000" w:themeColor="text1"/>
          <w:kern w:val="0"/>
          <w:szCs w:val="28"/>
          <w14:ligatures w14:val="none"/>
        </w:rPr>
        <w:t xml:space="preserve"> и утечки данных, перерывы в </w:t>
      </w:r>
      <w:r w:rsidR="00F8584C">
        <w:rPr>
          <w:rFonts w:cs="Times New Roman"/>
          <w:bCs/>
          <w:color w:val="000000" w:themeColor="text1"/>
          <w:kern w:val="0"/>
          <w:szCs w:val="28"/>
          <w14:ligatures w14:val="none"/>
        </w:rPr>
        <w:t>производстве</w:t>
      </w:r>
      <w:r w:rsidRPr="00E452FD">
        <w:rPr>
          <w:rFonts w:cs="Times New Roman"/>
          <w:bCs/>
          <w:color w:val="000000" w:themeColor="text1"/>
          <w:kern w:val="0"/>
          <w:szCs w:val="28"/>
          <w14:ligatures w14:val="none"/>
        </w:rPr>
        <w:t xml:space="preserve"> </w:t>
      </w:r>
      <w:r w:rsidRPr="00E452FD">
        <w:rPr>
          <w:rFonts w:cs="Times New Roman"/>
          <w:bCs/>
          <w:color w:val="000000" w:themeColor="text1"/>
          <w:kern w:val="0"/>
          <w:szCs w:val="28"/>
          <w14:ligatures w14:val="none"/>
        </w:rPr>
        <w:lastRenderedPageBreak/>
        <w:t>(</w:t>
      </w:r>
      <w:proofErr w:type="spellStart"/>
      <w:r w:rsidRPr="00E452FD">
        <w:rPr>
          <w:rFonts w:cs="Times New Roman"/>
          <w:bCs/>
          <w:color w:val="000000" w:themeColor="text1"/>
          <w:kern w:val="0"/>
          <w:szCs w:val="28"/>
          <w14:ligatures w14:val="none"/>
        </w:rPr>
        <w:t>business</w:t>
      </w:r>
      <w:proofErr w:type="spellEnd"/>
      <w:r w:rsidRPr="00E452FD">
        <w:rPr>
          <w:rFonts w:cs="Times New Roman"/>
          <w:bCs/>
          <w:color w:val="000000" w:themeColor="text1"/>
          <w:kern w:val="0"/>
          <w:szCs w:val="28"/>
          <w14:ligatures w14:val="none"/>
        </w:rPr>
        <w:t xml:space="preserve"> </w:t>
      </w:r>
      <w:proofErr w:type="spellStart"/>
      <w:r w:rsidRPr="00E452FD">
        <w:rPr>
          <w:rFonts w:cs="Times New Roman"/>
          <w:bCs/>
          <w:color w:val="000000" w:themeColor="text1"/>
          <w:kern w:val="0"/>
          <w:szCs w:val="28"/>
          <w14:ligatures w14:val="none"/>
        </w:rPr>
        <w:t>interruption</w:t>
      </w:r>
      <w:proofErr w:type="spellEnd"/>
      <w:r w:rsidRPr="00E452FD">
        <w:rPr>
          <w:rFonts w:cs="Times New Roman"/>
          <w:bCs/>
          <w:color w:val="000000" w:themeColor="text1"/>
          <w:kern w:val="0"/>
          <w:szCs w:val="28"/>
          <w14:ligatures w14:val="none"/>
        </w:rPr>
        <w:t>) и экономический спад. При этом геополитические риски занимают пятое место в регионе, что выше, чем в мире в целом, и, как ожидается, будут усиливаться в ближайшие три года. Автор объясняет это географическим положением региона и близостью к зонам вооружённых конфликтов.</w:t>
      </w:r>
    </w:p>
    <w:p w14:paraId="5D744394" w14:textId="7B70440E" w:rsidR="00E452FD" w:rsidRDefault="00E452FD" w:rsidP="00E452FD">
      <w:pPr>
        <w:spacing w:after="0" w:line="276" w:lineRule="auto"/>
        <w:ind w:firstLine="851"/>
        <w:jc w:val="both"/>
        <w:rPr>
          <w:rFonts w:cs="Times New Roman"/>
          <w:b/>
          <w:bCs/>
          <w:szCs w:val="28"/>
        </w:rPr>
      </w:pPr>
      <w:r w:rsidRPr="00274296">
        <w:rPr>
          <w:rFonts w:cs="Times New Roman"/>
          <w:b/>
          <w:bCs/>
          <w:szCs w:val="28"/>
        </w:rPr>
        <w:t>Источник</w:t>
      </w:r>
      <w:r w:rsidRPr="00E452FD">
        <w:rPr>
          <w:rFonts w:cs="Times New Roman"/>
          <w:b/>
          <w:bCs/>
          <w:szCs w:val="28"/>
        </w:rPr>
        <w:t xml:space="preserve">: </w:t>
      </w:r>
      <w:hyperlink r:id="rId9" w:history="1">
        <w:r w:rsidR="00D1148D" w:rsidRPr="00D1148D">
          <w:rPr>
            <w:rStyle w:val="ac"/>
            <w:rFonts w:cs="Times New Roman"/>
            <w:szCs w:val="28"/>
          </w:rPr>
          <w:t>https://www.commercialriskonline.com/emea-firms-lagging-global-partners-on-insurance-analytics/</w:t>
        </w:r>
      </w:hyperlink>
    </w:p>
    <w:p w14:paraId="2CDC8172" w14:textId="77777777" w:rsidR="00D1148D" w:rsidRPr="00E452FD" w:rsidRDefault="00D1148D" w:rsidP="00E452FD">
      <w:pPr>
        <w:spacing w:after="0" w:line="276" w:lineRule="auto"/>
        <w:ind w:firstLine="851"/>
        <w:jc w:val="both"/>
        <w:rPr>
          <w:rFonts w:cs="Times New Roman"/>
          <w:b/>
          <w:bCs/>
          <w:szCs w:val="28"/>
        </w:rPr>
      </w:pPr>
    </w:p>
    <w:p w14:paraId="6095A14E" w14:textId="6F777168" w:rsidR="007E7CDD" w:rsidRPr="00274296" w:rsidRDefault="00E452FD" w:rsidP="00D3273B">
      <w:pPr>
        <w:pStyle w:val="1"/>
        <w:spacing w:before="0" w:after="0" w:line="276" w:lineRule="auto"/>
        <w:ind w:firstLine="851"/>
        <w:jc w:val="both"/>
        <w:rPr>
          <w:rFonts w:ascii="Times New Roman" w:hAnsi="Times New Roman" w:cs="Times New Roman"/>
          <w:b/>
          <w:color w:val="000000" w:themeColor="text1"/>
          <w:kern w:val="0"/>
          <w:sz w:val="28"/>
          <w:szCs w:val="28"/>
          <w14:ligatures w14:val="none"/>
        </w:rPr>
      </w:pPr>
      <w:bookmarkStart w:id="1" w:name="_Toc222345221"/>
      <w:r>
        <w:rPr>
          <w:rFonts w:ascii="Times New Roman" w:hAnsi="Times New Roman" w:cs="Times New Roman"/>
          <w:b/>
          <w:color w:val="000000" w:themeColor="text1"/>
          <w:kern w:val="0"/>
          <w:sz w:val="28"/>
          <w:szCs w:val="28"/>
          <w14:ligatures w14:val="none"/>
        </w:rPr>
        <w:t>2</w:t>
      </w:r>
      <w:r w:rsidR="007E7CDD" w:rsidRPr="00274296">
        <w:rPr>
          <w:rFonts w:ascii="Times New Roman" w:hAnsi="Times New Roman" w:cs="Times New Roman"/>
          <w:b/>
          <w:color w:val="000000" w:themeColor="text1"/>
          <w:kern w:val="0"/>
          <w:sz w:val="28"/>
          <w:szCs w:val="28"/>
          <w14:ligatures w14:val="none"/>
        </w:rPr>
        <w:t>.</w:t>
      </w:r>
      <w:r w:rsidR="007E7CDD" w:rsidRPr="00274296">
        <w:rPr>
          <w:rFonts w:ascii="Times New Roman" w:hAnsi="Times New Roman" w:cs="Times New Roman"/>
          <w:b/>
          <w:color w:val="000000" w:themeColor="text1"/>
          <w:kern w:val="0"/>
          <w:sz w:val="28"/>
          <w:szCs w:val="28"/>
          <w14:ligatures w14:val="none"/>
        </w:rPr>
        <w:tab/>
      </w:r>
      <w:r w:rsidR="00F62147" w:rsidRPr="00F62147">
        <w:rPr>
          <w:rFonts w:ascii="Times New Roman" w:hAnsi="Times New Roman" w:cs="Times New Roman"/>
          <w:b/>
          <w:color w:val="000000" w:themeColor="text1"/>
          <w:kern w:val="0"/>
          <w:sz w:val="28"/>
          <w:szCs w:val="28"/>
          <w14:ligatures w14:val="none"/>
        </w:rPr>
        <w:t>«ЕС поставил цель сократить чистые выбросы парниковых газов на 90% к 2040 году»</w:t>
      </w:r>
      <w:bookmarkEnd w:id="1"/>
    </w:p>
    <w:p w14:paraId="445CE870" w14:textId="455E6E5E" w:rsidR="00F62147" w:rsidRPr="00F62147" w:rsidRDefault="00F62147" w:rsidP="00F62147">
      <w:pPr>
        <w:spacing w:after="0" w:line="276" w:lineRule="auto"/>
        <w:ind w:firstLine="851"/>
        <w:jc w:val="both"/>
        <w:rPr>
          <w:rFonts w:cs="Times New Roman"/>
          <w:bCs/>
          <w:color w:val="000000" w:themeColor="text1"/>
          <w:kern w:val="0"/>
          <w:szCs w:val="28"/>
          <w14:ligatures w14:val="none"/>
        </w:rPr>
      </w:pPr>
      <w:r w:rsidRPr="00F62147">
        <w:rPr>
          <w:rFonts w:cs="Times New Roman"/>
          <w:bCs/>
          <w:color w:val="000000" w:themeColor="text1"/>
          <w:kern w:val="0"/>
          <w:szCs w:val="28"/>
          <w14:ligatures w14:val="none"/>
        </w:rPr>
        <w:t xml:space="preserve">Статья освещает важное политическое соглашение, достигнутое 10 декабря 2025 года между Европейским парламентом и государствами-членами ЕС, об установлении юридически обязательной цели по сокращению чистых выбросов парниковых газов на 90% к 2040 году по сравнению с уровнями 1990 года. Данное решение предполагает внесение поправок в Европейский климатический закон и формирует нормативно закреплённый промежуточный ориентир на пути к стратегической цели </w:t>
      </w:r>
      <w:r>
        <w:rPr>
          <w:rFonts w:cs="Times New Roman"/>
          <w:bCs/>
          <w:color w:val="000000" w:themeColor="text1"/>
          <w:kern w:val="0"/>
          <w:szCs w:val="28"/>
          <w14:ligatures w14:val="none"/>
        </w:rPr>
        <w:t>–</w:t>
      </w:r>
      <w:r w:rsidRPr="00F62147">
        <w:rPr>
          <w:rFonts w:cs="Times New Roman"/>
          <w:bCs/>
          <w:color w:val="000000" w:themeColor="text1"/>
          <w:kern w:val="0"/>
          <w:szCs w:val="28"/>
          <w14:ligatures w14:val="none"/>
        </w:rPr>
        <w:t xml:space="preserve"> достижению</w:t>
      </w:r>
      <w:r>
        <w:rPr>
          <w:rFonts w:cs="Times New Roman"/>
          <w:bCs/>
          <w:color w:val="000000" w:themeColor="text1"/>
          <w:kern w:val="0"/>
          <w:szCs w:val="28"/>
          <w14:ligatures w14:val="none"/>
        </w:rPr>
        <w:t xml:space="preserve"> </w:t>
      </w:r>
      <w:r w:rsidRPr="00F62147">
        <w:rPr>
          <w:rFonts w:cs="Times New Roman"/>
          <w:bCs/>
          <w:color w:val="000000" w:themeColor="text1"/>
          <w:kern w:val="0"/>
          <w:szCs w:val="28"/>
          <w14:ligatures w14:val="none"/>
        </w:rPr>
        <w:t>климатической нейтральности и полной декарбонизации экономики ЕС к 2050 году.</w:t>
      </w:r>
    </w:p>
    <w:p w14:paraId="36565849" w14:textId="77777777" w:rsidR="00F62147" w:rsidRPr="00F62147" w:rsidRDefault="00F62147" w:rsidP="00F62147">
      <w:pPr>
        <w:spacing w:after="0" w:line="276" w:lineRule="auto"/>
        <w:ind w:firstLine="851"/>
        <w:jc w:val="both"/>
        <w:rPr>
          <w:rFonts w:cs="Times New Roman"/>
          <w:bCs/>
          <w:color w:val="000000" w:themeColor="text1"/>
          <w:kern w:val="0"/>
          <w:szCs w:val="28"/>
          <w14:ligatures w14:val="none"/>
        </w:rPr>
      </w:pPr>
      <w:r w:rsidRPr="00F62147">
        <w:rPr>
          <w:rFonts w:cs="Times New Roman"/>
          <w:bCs/>
          <w:color w:val="000000" w:themeColor="text1"/>
          <w:kern w:val="0"/>
          <w:szCs w:val="28"/>
          <w14:ligatures w14:val="none"/>
        </w:rPr>
        <w:t xml:space="preserve">Европейская комиссия позиционирует новый целевой показатель как инструмент обеспечения предсказуемой регуляторной среды и снижения долгосрочных климатических и переходных рисков для экономики блока. Цель охарактеризована как прагматичный и гибкий механизм регулирования, учитывающий текущие экономические и геополитические реалии, а также усиливающий устойчивость европейской промышленности. Президент Комиссии Урсула фон дер </w:t>
      </w:r>
      <w:proofErr w:type="spellStart"/>
      <w:r w:rsidRPr="00F62147">
        <w:rPr>
          <w:rFonts w:cs="Times New Roman"/>
          <w:bCs/>
          <w:color w:val="000000" w:themeColor="text1"/>
          <w:kern w:val="0"/>
          <w:szCs w:val="28"/>
          <w14:ligatures w14:val="none"/>
        </w:rPr>
        <w:t>Ляйен</w:t>
      </w:r>
      <w:proofErr w:type="spellEnd"/>
      <w:r w:rsidRPr="00F62147">
        <w:rPr>
          <w:rFonts w:cs="Times New Roman"/>
          <w:bCs/>
          <w:color w:val="000000" w:themeColor="text1"/>
          <w:kern w:val="0"/>
          <w:szCs w:val="28"/>
          <w14:ligatures w14:val="none"/>
        </w:rPr>
        <w:t xml:space="preserve"> подчеркнула, что закрепление цели в законодательстве демонстрирует трансформацию международных обязательств в области климата в конкретные правовые и экономические инструменты.</w:t>
      </w:r>
    </w:p>
    <w:p w14:paraId="0B22193C" w14:textId="77777777" w:rsidR="00F62147" w:rsidRPr="00F62147" w:rsidRDefault="00F62147" w:rsidP="00F62147">
      <w:pPr>
        <w:spacing w:after="0" w:line="276" w:lineRule="auto"/>
        <w:ind w:firstLine="851"/>
        <w:jc w:val="both"/>
        <w:rPr>
          <w:rFonts w:cs="Times New Roman"/>
          <w:bCs/>
          <w:color w:val="000000" w:themeColor="text1"/>
          <w:kern w:val="0"/>
          <w:szCs w:val="28"/>
          <w14:ligatures w14:val="none"/>
        </w:rPr>
      </w:pPr>
      <w:r w:rsidRPr="00F62147">
        <w:rPr>
          <w:rFonts w:cs="Times New Roman"/>
          <w:bCs/>
          <w:color w:val="000000" w:themeColor="text1"/>
          <w:kern w:val="0"/>
          <w:szCs w:val="28"/>
          <w14:ligatures w14:val="none"/>
        </w:rPr>
        <w:t xml:space="preserve">Ключевым элементом предварительного соглашения является внедрение механизмов гибкости, направленных на повышение экономической эффективности достижения цели и оптимизацию регуляторной нагрузки. В частности, </w:t>
      </w:r>
      <w:proofErr w:type="gramStart"/>
      <w:r w:rsidRPr="00F62147">
        <w:rPr>
          <w:rFonts w:cs="Times New Roman"/>
          <w:bCs/>
          <w:color w:val="000000" w:themeColor="text1"/>
          <w:kern w:val="0"/>
          <w:szCs w:val="28"/>
          <w14:ligatures w14:val="none"/>
        </w:rPr>
        <w:t>начиная с 2036 года государствам-членам будет разрешено использовать высококачественные международные</w:t>
      </w:r>
      <w:proofErr w:type="gramEnd"/>
      <w:r w:rsidRPr="00F62147">
        <w:rPr>
          <w:rFonts w:cs="Times New Roman"/>
          <w:bCs/>
          <w:color w:val="000000" w:themeColor="text1"/>
          <w:kern w:val="0"/>
          <w:szCs w:val="28"/>
          <w14:ligatures w14:val="none"/>
        </w:rPr>
        <w:t xml:space="preserve"> углеродные кредиты в качестве дополнительного инструмента выполнения обязательств. Их объём может составлять до 5% от уровня чистых выбросов 1990 года, что фактически закрепляет обязательное внутреннее сокращение не менее чем на 85%. Таким образом, международные кредиты </w:t>
      </w:r>
      <w:r w:rsidRPr="00F62147">
        <w:rPr>
          <w:rFonts w:cs="Times New Roman"/>
          <w:bCs/>
          <w:color w:val="000000" w:themeColor="text1"/>
          <w:kern w:val="0"/>
          <w:szCs w:val="28"/>
          <w14:ligatures w14:val="none"/>
        </w:rPr>
        <w:lastRenderedPageBreak/>
        <w:t>рассматриваются как вспомогательный компенсирующий инструмент, а не как замещение внутренних мер по снижению выбросов.</w:t>
      </w:r>
    </w:p>
    <w:p w14:paraId="3DEBE0E9" w14:textId="5BCB1DF2" w:rsidR="00F62147" w:rsidRPr="00F62147" w:rsidRDefault="00F62147" w:rsidP="00F62147">
      <w:pPr>
        <w:spacing w:after="0" w:line="276" w:lineRule="auto"/>
        <w:ind w:firstLine="851"/>
        <w:jc w:val="both"/>
        <w:rPr>
          <w:rFonts w:cs="Times New Roman"/>
          <w:bCs/>
          <w:color w:val="000000" w:themeColor="text1"/>
          <w:kern w:val="0"/>
          <w:szCs w:val="28"/>
          <w14:ligatures w14:val="none"/>
        </w:rPr>
      </w:pPr>
      <w:r w:rsidRPr="00F62147">
        <w:rPr>
          <w:rFonts w:cs="Times New Roman"/>
          <w:bCs/>
          <w:color w:val="000000" w:themeColor="text1"/>
          <w:kern w:val="0"/>
          <w:szCs w:val="28"/>
          <w14:ligatures w14:val="none"/>
        </w:rPr>
        <w:t>Соглашение также предусматривает большую гибкость в распределении усилий между секторами экономики, позволяя государствам-членам компенсировать отставание в одном направлении за счёт более значительных результатов в другом без ущерба для выполнения общего целевого показателя. Это снижает вероятность системных сбоев в выполнении целевых показателей и уменьшает регуляторные и операционные риски при реализации климатической политики.</w:t>
      </w:r>
    </w:p>
    <w:p w14:paraId="72AC172B" w14:textId="037EDDA8" w:rsidR="00F62147" w:rsidRPr="00F62147" w:rsidRDefault="00F62147" w:rsidP="00F62147">
      <w:pPr>
        <w:spacing w:after="0" w:line="276" w:lineRule="auto"/>
        <w:ind w:firstLine="851"/>
        <w:jc w:val="both"/>
        <w:rPr>
          <w:rFonts w:cs="Times New Roman"/>
          <w:bCs/>
          <w:color w:val="000000" w:themeColor="text1"/>
          <w:kern w:val="0"/>
          <w:szCs w:val="28"/>
          <w14:ligatures w14:val="none"/>
        </w:rPr>
      </w:pPr>
      <w:r w:rsidRPr="00F62147">
        <w:rPr>
          <w:rFonts w:cs="Times New Roman"/>
          <w:bCs/>
          <w:color w:val="000000" w:themeColor="text1"/>
          <w:kern w:val="0"/>
          <w:szCs w:val="28"/>
          <w14:ligatures w14:val="none"/>
        </w:rPr>
        <w:t>Обновлённый Климатический закон предусматривает возможность зачёта постоянного удаления углерода, осуществляемого на территории ЕС, в рамках Системы торговли выбросами. Этот инструмент предназначен для компенсации так называемых остаточных выбросов в секторах, где их полное устранение на текущем этапе технологического развития невозможно. Тем самым усиливается интеграция рыночных инструментов в систему управления климатическими обязательствами.</w:t>
      </w:r>
    </w:p>
    <w:p w14:paraId="10EDE57E" w14:textId="77777777" w:rsidR="00F62147" w:rsidRPr="00F62147" w:rsidRDefault="00F62147" w:rsidP="00F62147">
      <w:pPr>
        <w:spacing w:after="0" w:line="276" w:lineRule="auto"/>
        <w:ind w:firstLine="851"/>
        <w:jc w:val="both"/>
        <w:rPr>
          <w:rFonts w:cs="Times New Roman"/>
          <w:bCs/>
          <w:color w:val="000000" w:themeColor="text1"/>
          <w:kern w:val="0"/>
          <w:szCs w:val="28"/>
          <w14:ligatures w14:val="none"/>
        </w:rPr>
      </w:pPr>
      <w:r w:rsidRPr="00F62147">
        <w:rPr>
          <w:rFonts w:cs="Times New Roman"/>
          <w:bCs/>
          <w:color w:val="000000" w:themeColor="text1"/>
          <w:kern w:val="0"/>
          <w:szCs w:val="28"/>
          <w14:ligatures w14:val="none"/>
        </w:rPr>
        <w:t>В соглашении также обозначены ключевые приоритеты пост-2030 рамочной политики: повышение конкурентоспособности европейской промышленности, обеспечение социально сбалансированного и экономически управляемого перехода, развитие инновационных и технологически нейтральных решений в сфере чистой энергетики. Эти положения направлены на минимизацию социально-экономических рисков «зелёного» перехода.</w:t>
      </w:r>
    </w:p>
    <w:p w14:paraId="7AE4BD3D" w14:textId="587BB698" w:rsidR="008F2F3E" w:rsidRPr="008F2F3E" w:rsidRDefault="008F2F3E" w:rsidP="008F2F3E">
      <w:pPr>
        <w:spacing w:after="0" w:line="276" w:lineRule="auto"/>
        <w:ind w:firstLine="851"/>
        <w:jc w:val="both"/>
        <w:rPr>
          <w:rFonts w:cs="Times New Roman"/>
          <w:bCs/>
          <w:color w:val="000000" w:themeColor="text1"/>
          <w:kern w:val="0"/>
          <w:szCs w:val="28"/>
          <w14:ligatures w14:val="none"/>
        </w:rPr>
      </w:pPr>
      <w:r w:rsidRPr="008F2F3E">
        <w:rPr>
          <w:rFonts w:cs="Times New Roman"/>
          <w:bCs/>
          <w:color w:val="000000" w:themeColor="text1"/>
          <w:kern w:val="0"/>
          <w:szCs w:val="28"/>
          <w14:ligatures w14:val="none"/>
        </w:rPr>
        <w:t xml:space="preserve">Важной корректировкой стала отсрочка на один год </w:t>
      </w:r>
      <w:r>
        <w:rPr>
          <w:rFonts w:cs="Times New Roman"/>
          <w:bCs/>
          <w:color w:val="000000" w:themeColor="text1"/>
          <w:kern w:val="0"/>
          <w:szCs w:val="28"/>
          <w14:ligatures w14:val="none"/>
        </w:rPr>
        <w:t>(</w:t>
      </w:r>
      <w:r w:rsidRPr="008F2F3E">
        <w:rPr>
          <w:rFonts w:cs="Times New Roman"/>
          <w:bCs/>
          <w:color w:val="000000" w:themeColor="text1"/>
          <w:kern w:val="0"/>
          <w:szCs w:val="28"/>
          <w14:ligatures w14:val="none"/>
        </w:rPr>
        <w:t>до 2028 года</w:t>
      </w:r>
      <w:r>
        <w:rPr>
          <w:rFonts w:cs="Times New Roman"/>
          <w:bCs/>
          <w:color w:val="000000" w:themeColor="text1"/>
          <w:kern w:val="0"/>
          <w:szCs w:val="28"/>
          <w14:ligatures w14:val="none"/>
        </w:rPr>
        <w:t>)</w:t>
      </w:r>
      <w:r w:rsidRPr="008F2F3E">
        <w:rPr>
          <w:rFonts w:cs="Times New Roman"/>
          <w:bCs/>
          <w:color w:val="000000" w:themeColor="text1"/>
          <w:kern w:val="0"/>
          <w:szCs w:val="28"/>
          <w14:ligatures w14:val="none"/>
        </w:rPr>
        <w:t xml:space="preserve"> запуска расширенной Системы торговли выбросами ЕС для секторов строительства, автомобильного транспорта и малой промышленности. Речь идёт о так называемой ETS2 (второй системе торговли выбросами), которая дополняет действующий углеродный рынок ЕС и распространяется на сектора, ранее не охваченные регулированием.</w:t>
      </w:r>
    </w:p>
    <w:p w14:paraId="5D5486DB" w14:textId="77777777" w:rsidR="008F2F3E" w:rsidRDefault="008F2F3E" w:rsidP="008F2F3E">
      <w:pPr>
        <w:spacing w:after="0" w:line="276" w:lineRule="auto"/>
        <w:ind w:firstLine="851"/>
        <w:jc w:val="both"/>
        <w:rPr>
          <w:rFonts w:cs="Times New Roman"/>
          <w:bCs/>
          <w:color w:val="000000" w:themeColor="text1"/>
          <w:kern w:val="0"/>
          <w:szCs w:val="28"/>
          <w14:ligatures w14:val="none"/>
        </w:rPr>
      </w:pPr>
      <w:r w:rsidRPr="008F2F3E">
        <w:rPr>
          <w:rFonts w:cs="Times New Roman"/>
          <w:bCs/>
          <w:color w:val="000000" w:themeColor="text1"/>
          <w:kern w:val="0"/>
          <w:szCs w:val="28"/>
          <w14:ligatures w14:val="none"/>
        </w:rPr>
        <w:t>При этом требования по мониторингу, отчётности и верификации выбросов в рамках ETS2 были введены в 2025 году и продолжают действовать в установленном порядке. Иными словами, перенос касается только начала финансовых расчётов по выбросам, но не отменяет подготовительного этапа контроля и сбора данных.</w:t>
      </w:r>
    </w:p>
    <w:p w14:paraId="5E9E0CEE" w14:textId="174FD5F0" w:rsidR="007E7CDD" w:rsidRDefault="007E7CDD" w:rsidP="008F2F3E">
      <w:pPr>
        <w:spacing w:after="0" w:line="276" w:lineRule="auto"/>
        <w:ind w:firstLine="851"/>
        <w:jc w:val="both"/>
        <w:rPr>
          <w:rFonts w:cs="Times New Roman"/>
          <w:bCs/>
          <w:szCs w:val="28"/>
        </w:rPr>
      </w:pPr>
      <w:r w:rsidRPr="00274296">
        <w:rPr>
          <w:rFonts w:cs="Times New Roman"/>
          <w:b/>
          <w:bCs/>
          <w:szCs w:val="28"/>
        </w:rPr>
        <w:t>Источник</w:t>
      </w:r>
      <w:r w:rsidRPr="00274296">
        <w:rPr>
          <w:rFonts w:cs="Times New Roman"/>
          <w:bCs/>
          <w:szCs w:val="28"/>
        </w:rPr>
        <w:t xml:space="preserve">: </w:t>
      </w:r>
      <w:hyperlink r:id="rId10" w:history="1">
        <w:r w:rsidR="008F2F3E" w:rsidRPr="00A93415">
          <w:rPr>
            <w:rStyle w:val="ac"/>
          </w:rPr>
          <w:t>https://www.commercialriskonline.com/eu-sets-target-of-90-reduction-in-net-greenhouse-gas-emissions-for-2040/</w:t>
        </w:r>
      </w:hyperlink>
      <w:r w:rsidR="008F2F3E">
        <w:t xml:space="preserve"> </w:t>
      </w:r>
    </w:p>
    <w:p w14:paraId="6A2B5B5F" w14:textId="77777777" w:rsidR="00ED0259" w:rsidRDefault="00ED0259" w:rsidP="00D3273B">
      <w:pPr>
        <w:spacing w:after="0" w:line="276" w:lineRule="auto"/>
        <w:ind w:firstLine="851"/>
        <w:jc w:val="both"/>
        <w:rPr>
          <w:rFonts w:cs="Times New Roman"/>
          <w:bCs/>
          <w:szCs w:val="28"/>
        </w:rPr>
      </w:pPr>
    </w:p>
    <w:p w14:paraId="3F20B6AD" w14:textId="354EEAA4" w:rsidR="00647287" w:rsidRPr="00274296" w:rsidRDefault="00E452FD" w:rsidP="00D3273B">
      <w:pPr>
        <w:pStyle w:val="1"/>
        <w:spacing w:before="0" w:after="0" w:line="276" w:lineRule="auto"/>
        <w:ind w:firstLine="851"/>
        <w:jc w:val="both"/>
        <w:rPr>
          <w:rFonts w:ascii="Times New Roman" w:hAnsi="Times New Roman" w:cs="Times New Roman"/>
          <w:b/>
          <w:color w:val="000000" w:themeColor="text1"/>
          <w:kern w:val="0"/>
          <w:sz w:val="28"/>
          <w:szCs w:val="28"/>
          <w14:ligatures w14:val="none"/>
        </w:rPr>
      </w:pPr>
      <w:bookmarkStart w:id="2" w:name="_Toc222345222"/>
      <w:r>
        <w:rPr>
          <w:rFonts w:ascii="Times New Roman" w:hAnsi="Times New Roman" w:cs="Times New Roman"/>
          <w:b/>
          <w:color w:val="000000" w:themeColor="text1"/>
          <w:kern w:val="0"/>
          <w:sz w:val="28"/>
          <w:szCs w:val="28"/>
          <w14:ligatures w14:val="none"/>
        </w:rPr>
        <w:lastRenderedPageBreak/>
        <w:t>3</w:t>
      </w:r>
      <w:r w:rsidR="00647287" w:rsidRPr="00274296">
        <w:rPr>
          <w:rFonts w:ascii="Times New Roman" w:hAnsi="Times New Roman" w:cs="Times New Roman"/>
          <w:b/>
          <w:color w:val="000000" w:themeColor="text1"/>
          <w:kern w:val="0"/>
          <w:sz w:val="28"/>
          <w:szCs w:val="28"/>
          <w14:ligatures w14:val="none"/>
        </w:rPr>
        <w:t>.</w:t>
      </w:r>
      <w:r w:rsidR="00647287" w:rsidRPr="00274296">
        <w:rPr>
          <w:rFonts w:ascii="Times New Roman" w:hAnsi="Times New Roman" w:cs="Times New Roman"/>
          <w:b/>
          <w:color w:val="000000" w:themeColor="text1"/>
          <w:kern w:val="0"/>
          <w:sz w:val="28"/>
          <w:szCs w:val="28"/>
          <w14:ligatures w14:val="none"/>
        </w:rPr>
        <w:tab/>
      </w:r>
      <w:r w:rsidR="00E53AAB" w:rsidRPr="00E53AAB">
        <w:rPr>
          <w:rFonts w:ascii="Times New Roman" w:hAnsi="Times New Roman" w:cs="Times New Roman"/>
          <w:b/>
          <w:color w:val="000000" w:themeColor="text1"/>
          <w:kern w:val="0"/>
          <w:sz w:val="28"/>
          <w:szCs w:val="28"/>
          <w14:ligatures w14:val="none"/>
        </w:rPr>
        <w:t>«Положительная корреляция между отчетностью об устойчивом развитии и финансовыми показателями»</w:t>
      </w:r>
      <w:bookmarkEnd w:id="2"/>
    </w:p>
    <w:p w14:paraId="2A5CD2FE" w14:textId="77777777" w:rsidR="00E53AAB" w:rsidRPr="00E53AAB" w:rsidRDefault="00E53AAB" w:rsidP="00E53AAB">
      <w:pPr>
        <w:spacing w:after="0" w:line="276" w:lineRule="auto"/>
        <w:ind w:firstLine="851"/>
        <w:jc w:val="both"/>
        <w:rPr>
          <w:rFonts w:cs="Times New Roman"/>
          <w:bCs/>
          <w:szCs w:val="28"/>
        </w:rPr>
      </w:pPr>
      <w:r w:rsidRPr="00E53AAB">
        <w:rPr>
          <w:rFonts w:cs="Times New Roman"/>
          <w:bCs/>
          <w:szCs w:val="28"/>
        </w:rPr>
        <w:t>Статья освещает результаты аналитического обзора, проведенного Глобальной инициативой по отчетности (GRI). В рамках исследования были проанализированы 30 эмпирических работ, опубликованных в рецензируемых академических журналах в период с 2010 по 2025 год, с целью изучения взаимосвязи между раскрытием информации о воздействии компаний в сфере устойчивого развития и их финансовыми показателями.</w:t>
      </w:r>
    </w:p>
    <w:p w14:paraId="4617334A" w14:textId="77777777" w:rsidR="00E53AAB" w:rsidRPr="00E53AAB" w:rsidRDefault="00E53AAB" w:rsidP="00E53AAB">
      <w:pPr>
        <w:spacing w:after="0" w:line="276" w:lineRule="auto"/>
        <w:ind w:firstLine="851"/>
        <w:jc w:val="both"/>
        <w:rPr>
          <w:rFonts w:cs="Times New Roman"/>
          <w:bCs/>
          <w:szCs w:val="28"/>
        </w:rPr>
      </w:pPr>
      <w:r w:rsidRPr="00E53AAB">
        <w:rPr>
          <w:rFonts w:cs="Times New Roman"/>
          <w:bCs/>
          <w:szCs w:val="28"/>
        </w:rPr>
        <w:t>Ключевой вывод анализа GRI свидетельствует о преимущественно положительной корреляции между этими факторами. Обзор показал, что 22 из 30 исследований (73%) выявляют положительную взаимосвязь между отчетностью об устойчивом развитии и финансовыми результатами компаний, причем эта связь более выражена в случаях использования глобально признанных стандартов, включая стандарты GRI. В шести исследованиях результаты были признаны неоднозначными или смешанными, и только два исследования зафиксировали отрицательную корреляцию.</w:t>
      </w:r>
    </w:p>
    <w:p w14:paraId="03176FA2" w14:textId="77777777" w:rsidR="00E53AAB" w:rsidRPr="00E53AAB" w:rsidRDefault="00E53AAB" w:rsidP="00E53AAB">
      <w:pPr>
        <w:spacing w:after="0" w:line="276" w:lineRule="auto"/>
        <w:ind w:firstLine="851"/>
        <w:jc w:val="both"/>
        <w:rPr>
          <w:rFonts w:cs="Times New Roman"/>
          <w:bCs/>
          <w:szCs w:val="28"/>
        </w:rPr>
      </w:pPr>
      <w:r w:rsidRPr="00E53AAB">
        <w:rPr>
          <w:rFonts w:cs="Times New Roman"/>
          <w:bCs/>
          <w:szCs w:val="28"/>
        </w:rPr>
        <w:t>В статье выделяются три основных механизма, через которые, согласно анализу GRI, отчетность об устойчивом развитии может создавать финансовую ценность: улучшение доступа к капиталу, повышение операционной эффективности и укрепление системы управления рисками. Это позволяет рассматривать такую отчетность не только как инструмент соблюдения требований, но и как фактор, способный сопровождаться финансовыми преимуществами.</w:t>
      </w:r>
    </w:p>
    <w:p w14:paraId="352253D9" w14:textId="77777777" w:rsidR="00E53AAB" w:rsidRPr="00E53AAB" w:rsidRDefault="00E53AAB" w:rsidP="00E53AAB">
      <w:pPr>
        <w:spacing w:after="0" w:line="276" w:lineRule="auto"/>
        <w:ind w:firstLine="851"/>
        <w:jc w:val="both"/>
        <w:rPr>
          <w:rFonts w:cs="Times New Roman"/>
          <w:bCs/>
          <w:szCs w:val="28"/>
        </w:rPr>
      </w:pPr>
      <w:r w:rsidRPr="00E53AAB">
        <w:rPr>
          <w:rFonts w:cs="Times New Roman"/>
          <w:bCs/>
          <w:szCs w:val="28"/>
        </w:rPr>
        <w:t>При этом отмечается, что на характер взаимосвязи могут влиять отраслевые особенности, размер компании, регуляторная среда и географический контекст. Тем не менее, совокупные результаты исследований указывают на преобладание положительной корреляции между отчетностью об устойчивом развитии и финансовой результативностью.</w:t>
      </w:r>
    </w:p>
    <w:p w14:paraId="49893FC9" w14:textId="77777777" w:rsidR="00E53AAB" w:rsidRDefault="00E53AAB" w:rsidP="00E53AAB">
      <w:pPr>
        <w:spacing w:after="0" w:line="276" w:lineRule="auto"/>
        <w:ind w:firstLine="851"/>
        <w:jc w:val="both"/>
        <w:rPr>
          <w:rFonts w:cs="Times New Roman"/>
          <w:bCs/>
          <w:szCs w:val="28"/>
        </w:rPr>
      </w:pPr>
      <w:r w:rsidRPr="00E53AAB">
        <w:rPr>
          <w:rFonts w:cs="Times New Roman"/>
          <w:bCs/>
          <w:szCs w:val="28"/>
        </w:rPr>
        <w:t xml:space="preserve">В заключение приводится заявление </w:t>
      </w:r>
      <w:proofErr w:type="spellStart"/>
      <w:r w:rsidRPr="00E53AAB">
        <w:rPr>
          <w:rFonts w:cs="Times New Roman"/>
          <w:bCs/>
          <w:szCs w:val="28"/>
        </w:rPr>
        <w:t>Бастиана</w:t>
      </w:r>
      <w:proofErr w:type="spellEnd"/>
      <w:r w:rsidRPr="00E53AAB">
        <w:rPr>
          <w:rFonts w:cs="Times New Roman"/>
          <w:bCs/>
          <w:szCs w:val="28"/>
        </w:rPr>
        <w:t xml:space="preserve"> Бака, директора по стандартам GRI, который подчеркивает, что значение отчетности об устойчивом развитии для финансовых показателей компаний часто недооценивается. Он также отмечает необходимость повышения качества и расширения практики раскрытия информации о воздействиях, а стандарты GRI рассматривает как важный элемент формирующейся глобальной системы отчетности.</w:t>
      </w:r>
    </w:p>
    <w:p w14:paraId="61A937A4" w14:textId="04FEF0AC" w:rsidR="00647287" w:rsidRPr="00647287" w:rsidRDefault="00647287" w:rsidP="00E53AAB">
      <w:pPr>
        <w:spacing w:after="0" w:line="276" w:lineRule="auto"/>
        <w:ind w:firstLine="851"/>
        <w:jc w:val="both"/>
        <w:rPr>
          <w:rFonts w:cs="Times New Roman"/>
          <w:bCs/>
          <w:szCs w:val="28"/>
        </w:rPr>
      </w:pPr>
      <w:r w:rsidRPr="00647287">
        <w:rPr>
          <w:rFonts w:cs="Times New Roman"/>
          <w:b/>
          <w:bCs/>
          <w:szCs w:val="28"/>
        </w:rPr>
        <w:t>Источник</w:t>
      </w:r>
      <w:r w:rsidRPr="00647287">
        <w:rPr>
          <w:rFonts w:cs="Times New Roman"/>
          <w:bCs/>
          <w:szCs w:val="28"/>
        </w:rPr>
        <w:t xml:space="preserve">: </w:t>
      </w:r>
      <w:hyperlink r:id="rId11" w:history="1">
        <w:r w:rsidR="00267F3A" w:rsidRPr="00A812EA">
          <w:rPr>
            <w:rStyle w:val="ac"/>
          </w:rPr>
          <w:t>https://www.commercialriskonline.com/positive-correlation-between-sustainability-reporting-and-financial-performance/</w:t>
        </w:r>
      </w:hyperlink>
      <w:r w:rsidR="00267F3A">
        <w:t xml:space="preserve"> </w:t>
      </w:r>
    </w:p>
    <w:p w14:paraId="33C87D53" w14:textId="77777777" w:rsidR="00647287" w:rsidRPr="00647287" w:rsidRDefault="00647287" w:rsidP="00D3273B">
      <w:pPr>
        <w:spacing w:after="0" w:line="276" w:lineRule="auto"/>
        <w:ind w:firstLine="851"/>
        <w:jc w:val="both"/>
        <w:rPr>
          <w:rFonts w:cs="Times New Roman"/>
          <w:bCs/>
          <w:szCs w:val="28"/>
        </w:rPr>
      </w:pPr>
    </w:p>
    <w:p w14:paraId="2D7C9E76" w14:textId="3598FBB7" w:rsidR="00647287" w:rsidRPr="00274296" w:rsidRDefault="00E452FD" w:rsidP="00D3273B">
      <w:pPr>
        <w:pStyle w:val="1"/>
        <w:spacing w:before="0" w:after="0" w:line="276" w:lineRule="auto"/>
        <w:ind w:firstLine="851"/>
        <w:jc w:val="both"/>
        <w:rPr>
          <w:rFonts w:ascii="Times New Roman" w:hAnsi="Times New Roman" w:cs="Times New Roman"/>
          <w:b/>
          <w:color w:val="000000" w:themeColor="text1"/>
          <w:kern w:val="0"/>
          <w:sz w:val="28"/>
          <w:szCs w:val="28"/>
          <w14:ligatures w14:val="none"/>
        </w:rPr>
      </w:pPr>
      <w:bookmarkStart w:id="3" w:name="_Toc222345223"/>
      <w:r>
        <w:rPr>
          <w:rFonts w:ascii="Times New Roman" w:hAnsi="Times New Roman" w:cs="Times New Roman"/>
          <w:b/>
          <w:color w:val="000000" w:themeColor="text1"/>
          <w:kern w:val="0"/>
          <w:sz w:val="28"/>
          <w:szCs w:val="28"/>
          <w14:ligatures w14:val="none"/>
        </w:rPr>
        <w:t>4</w:t>
      </w:r>
      <w:r w:rsidR="00647287" w:rsidRPr="00274296">
        <w:rPr>
          <w:rFonts w:ascii="Times New Roman" w:hAnsi="Times New Roman" w:cs="Times New Roman"/>
          <w:b/>
          <w:color w:val="000000" w:themeColor="text1"/>
          <w:kern w:val="0"/>
          <w:sz w:val="28"/>
          <w:szCs w:val="28"/>
          <w14:ligatures w14:val="none"/>
        </w:rPr>
        <w:t>.</w:t>
      </w:r>
      <w:r w:rsidR="00647287" w:rsidRPr="00274296">
        <w:rPr>
          <w:rFonts w:ascii="Times New Roman" w:hAnsi="Times New Roman" w:cs="Times New Roman"/>
          <w:b/>
          <w:color w:val="000000" w:themeColor="text1"/>
          <w:kern w:val="0"/>
          <w:sz w:val="28"/>
          <w:szCs w:val="28"/>
          <w14:ligatures w14:val="none"/>
        </w:rPr>
        <w:tab/>
      </w:r>
      <w:r w:rsidR="00E20E50" w:rsidRPr="00E20E50">
        <w:rPr>
          <w:rFonts w:ascii="Times New Roman" w:hAnsi="Times New Roman" w:cs="Times New Roman"/>
          <w:b/>
          <w:color w:val="000000" w:themeColor="text1"/>
          <w:kern w:val="0"/>
          <w:sz w:val="28"/>
          <w:szCs w:val="28"/>
          <w14:ligatures w14:val="none"/>
        </w:rPr>
        <w:t>Спрос на глобальные страховые программы в условиях фрагментации усиливается, однако их проектирование требует более взвешенного подхода.</w:t>
      </w:r>
      <w:bookmarkEnd w:id="3"/>
    </w:p>
    <w:p w14:paraId="519E855F" w14:textId="77777777" w:rsidR="00E20E50" w:rsidRPr="00E20E50" w:rsidRDefault="00E20E50" w:rsidP="00E20E50">
      <w:pPr>
        <w:tabs>
          <w:tab w:val="left" w:pos="709"/>
        </w:tabs>
        <w:spacing w:after="0" w:line="276" w:lineRule="auto"/>
        <w:ind w:firstLine="851"/>
        <w:jc w:val="both"/>
        <w:rPr>
          <w:rFonts w:cs="Times New Roman"/>
          <w:bCs/>
          <w:szCs w:val="28"/>
        </w:rPr>
      </w:pPr>
      <w:r w:rsidRPr="00E20E50">
        <w:rPr>
          <w:rFonts w:cs="Times New Roman"/>
          <w:bCs/>
          <w:szCs w:val="28"/>
        </w:rPr>
        <w:t>Современная экономическая и политическая реальность означает более высокую подверженность рискам и, соответственно, растущий спрос на координированные глобальные страховые решения. Однако усиление политической фрагментации вынуждает страховщиков разрабатывать международные страховые программы с более дифференцированным подходом к их структуре (</w:t>
      </w:r>
      <w:proofErr w:type="spellStart"/>
      <w:r w:rsidRPr="00E20E50">
        <w:rPr>
          <w:rFonts w:cs="Times New Roman"/>
          <w:bCs/>
          <w:szCs w:val="28"/>
        </w:rPr>
        <w:t>nuanced</w:t>
      </w:r>
      <w:proofErr w:type="spellEnd"/>
      <w:r w:rsidRPr="00E20E50">
        <w:rPr>
          <w:rFonts w:cs="Times New Roman"/>
          <w:bCs/>
          <w:szCs w:val="28"/>
        </w:rPr>
        <w:t xml:space="preserve"> </w:t>
      </w:r>
      <w:proofErr w:type="spellStart"/>
      <w:r w:rsidRPr="00E20E50">
        <w:rPr>
          <w:rFonts w:cs="Times New Roman"/>
          <w:bCs/>
          <w:szCs w:val="28"/>
        </w:rPr>
        <w:t>approach</w:t>
      </w:r>
      <w:proofErr w:type="spellEnd"/>
      <w:r w:rsidRPr="00E20E50">
        <w:rPr>
          <w:rFonts w:cs="Times New Roman"/>
          <w:bCs/>
          <w:szCs w:val="28"/>
        </w:rPr>
        <w:t>).</w:t>
      </w:r>
    </w:p>
    <w:p w14:paraId="51E838D9" w14:textId="5C54E927" w:rsidR="00E20E50" w:rsidRPr="00E20E50" w:rsidRDefault="00E20E50" w:rsidP="00E20E50">
      <w:pPr>
        <w:tabs>
          <w:tab w:val="left" w:pos="709"/>
        </w:tabs>
        <w:spacing w:after="0" w:line="276" w:lineRule="auto"/>
        <w:ind w:firstLine="851"/>
        <w:jc w:val="both"/>
        <w:rPr>
          <w:rFonts w:cs="Times New Roman"/>
          <w:bCs/>
          <w:szCs w:val="28"/>
        </w:rPr>
      </w:pPr>
      <w:r w:rsidRPr="00E20E50">
        <w:rPr>
          <w:rFonts w:cs="Times New Roman"/>
          <w:bCs/>
          <w:szCs w:val="28"/>
        </w:rPr>
        <w:t xml:space="preserve">Несмотря на трудности на мировом рынке </w:t>
      </w:r>
      <w:r w:rsidR="000F5AD9">
        <w:rPr>
          <w:rFonts w:cs="Times New Roman"/>
          <w:bCs/>
          <w:szCs w:val="28"/>
        </w:rPr>
        <w:t>–</w:t>
      </w:r>
      <w:r w:rsidRPr="00E20E50">
        <w:rPr>
          <w:rFonts w:cs="Times New Roman"/>
          <w:bCs/>
          <w:szCs w:val="28"/>
        </w:rPr>
        <w:t xml:space="preserve"> в частности, инфляционное давление, рост стоимости активов и геополитическую напряжённость </w:t>
      </w:r>
      <w:r w:rsidR="000F5AD9">
        <w:rPr>
          <w:rFonts w:cs="Times New Roman"/>
          <w:bCs/>
          <w:szCs w:val="28"/>
        </w:rPr>
        <w:t>–</w:t>
      </w:r>
      <w:r w:rsidRPr="00E20E50">
        <w:rPr>
          <w:rFonts w:cs="Times New Roman"/>
          <w:bCs/>
          <w:szCs w:val="28"/>
        </w:rPr>
        <w:t xml:space="preserve"> страховой рынок демонстрирует устойчивость, а темпы роста страховых премий стабилизируются. Эксперты выделяют несколько драйверов спроса: прежде всего рост подверженности природным катастрофическим рискам, развитие практики страхования ответственности, а также интеграцию новых технологий. Кроме того, для крупных международных страхователей важными факторами становятся повышение прозрачности и обеспечение непрерывности бизнес-процессов.</w:t>
      </w:r>
    </w:p>
    <w:p w14:paraId="4277D12B" w14:textId="77777777" w:rsidR="00E20E50" w:rsidRPr="00E20E50" w:rsidRDefault="00E20E50" w:rsidP="00E20E50">
      <w:pPr>
        <w:tabs>
          <w:tab w:val="left" w:pos="709"/>
        </w:tabs>
        <w:spacing w:after="0" w:line="276" w:lineRule="auto"/>
        <w:ind w:firstLine="851"/>
        <w:jc w:val="both"/>
        <w:rPr>
          <w:rFonts w:cs="Times New Roman"/>
          <w:bCs/>
          <w:szCs w:val="28"/>
        </w:rPr>
      </w:pPr>
      <w:r w:rsidRPr="00E20E50">
        <w:rPr>
          <w:rFonts w:cs="Times New Roman"/>
          <w:bCs/>
          <w:szCs w:val="28"/>
        </w:rPr>
        <w:t xml:space="preserve">Сегмент глобальных программ в настоящее время остаётся благоприятным для клиентов: увеличивается ёмкость рынка, смягчаются ценовые условия, особенно по линиям имущественного страхования и страхования общей гражданской ответственности. Крупные глобальные страховщики демонстрируют </w:t>
      </w:r>
      <w:proofErr w:type="gramStart"/>
      <w:r w:rsidRPr="00E20E50">
        <w:rPr>
          <w:rFonts w:cs="Times New Roman"/>
          <w:bCs/>
          <w:szCs w:val="28"/>
        </w:rPr>
        <w:t>меньшую</w:t>
      </w:r>
      <w:proofErr w:type="gramEnd"/>
      <w:r w:rsidRPr="00E20E50">
        <w:rPr>
          <w:rFonts w:cs="Times New Roman"/>
          <w:bCs/>
          <w:szCs w:val="28"/>
        </w:rPr>
        <w:t xml:space="preserve"> волатильность по сравнению с локальными игроками благодаря развитой международной сети и устойчивой капитализации. Вместе с тем выход на рынок глобальных программ требует значительных инвестиций, поэтому новые участники появляются медленно, а внедрение продуктовых инноваций происходит </w:t>
      </w:r>
      <w:proofErr w:type="gramStart"/>
      <w:r w:rsidRPr="00E20E50">
        <w:rPr>
          <w:rFonts w:cs="Times New Roman"/>
          <w:bCs/>
          <w:szCs w:val="28"/>
        </w:rPr>
        <w:t>более постепенно</w:t>
      </w:r>
      <w:proofErr w:type="gramEnd"/>
      <w:r w:rsidRPr="00E20E50">
        <w:rPr>
          <w:rFonts w:cs="Times New Roman"/>
          <w:bCs/>
          <w:szCs w:val="28"/>
        </w:rPr>
        <w:t>.</w:t>
      </w:r>
    </w:p>
    <w:p w14:paraId="6429C6F3" w14:textId="4D0495D4" w:rsidR="00E20E50" w:rsidRPr="00E20E50" w:rsidRDefault="00E20E50" w:rsidP="00E20E50">
      <w:pPr>
        <w:tabs>
          <w:tab w:val="left" w:pos="709"/>
        </w:tabs>
        <w:spacing w:after="0" w:line="276" w:lineRule="auto"/>
        <w:ind w:firstLine="851"/>
        <w:jc w:val="both"/>
        <w:rPr>
          <w:rFonts w:cs="Times New Roman"/>
          <w:bCs/>
          <w:szCs w:val="28"/>
        </w:rPr>
      </w:pPr>
      <w:r w:rsidRPr="00E20E50">
        <w:rPr>
          <w:rFonts w:cs="Times New Roman"/>
          <w:bCs/>
          <w:szCs w:val="28"/>
        </w:rPr>
        <w:t xml:space="preserve">Показательный пример </w:t>
      </w:r>
      <w:r>
        <w:rPr>
          <w:rFonts w:cs="Times New Roman"/>
          <w:bCs/>
          <w:szCs w:val="28"/>
        </w:rPr>
        <w:t>–</w:t>
      </w:r>
      <w:r w:rsidRPr="00E20E50">
        <w:rPr>
          <w:rFonts w:cs="Times New Roman"/>
          <w:bCs/>
          <w:szCs w:val="28"/>
        </w:rPr>
        <w:t xml:space="preserve"> </w:t>
      </w:r>
      <w:proofErr w:type="spellStart"/>
      <w:r w:rsidRPr="00E20E50">
        <w:rPr>
          <w:rFonts w:cs="Times New Roman"/>
          <w:bCs/>
          <w:szCs w:val="28"/>
        </w:rPr>
        <w:t>киберстрахование</w:t>
      </w:r>
      <w:proofErr w:type="spellEnd"/>
      <w:r w:rsidRPr="00E20E50">
        <w:rPr>
          <w:rFonts w:cs="Times New Roman"/>
          <w:bCs/>
          <w:szCs w:val="28"/>
        </w:rPr>
        <w:t xml:space="preserve">. Несмотря на активное развитие данного вида страхования на национальных рынках, глобальные программы с </w:t>
      </w:r>
      <w:proofErr w:type="gramStart"/>
      <w:r w:rsidRPr="00E20E50">
        <w:rPr>
          <w:rFonts w:cs="Times New Roman"/>
          <w:bCs/>
          <w:szCs w:val="28"/>
        </w:rPr>
        <w:t>контролируемым</w:t>
      </w:r>
      <w:proofErr w:type="gramEnd"/>
      <w:r w:rsidRPr="00E20E50">
        <w:rPr>
          <w:rFonts w:cs="Times New Roman"/>
          <w:bCs/>
          <w:szCs w:val="28"/>
        </w:rPr>
        <w:t xml:space="preserve"> мастер-полисом и локальными полисами начали формироваться лишь в последние годы. Это отражает сложность согласования глобальных условий покрытия с требованиями местного регулирования и </w:t>
      </w:r>
      <w:proofErr w:type="spellStart"/>
      <w:r w:rsidRPr="00E20E50">
        <w:rPr>
          <w:rFonts w:cs="Times New Roman"/>
          <w:bCs/>
          <w:szCs w:val="28"/>
        </w:rPr>
        <w:t>андеррайтинга</w:t>
      </w:r>
      <w:proofErr w:type="spellEnd"/>
      <w:r w:rsidRPr="00E20E50">
        <w:rPr>
          <w:rFonts w:cs="Times New Roman"/>
          <w:bCs/>
          <w:szCs w:val="28"/>
        </w:rPr>
        <w:t>.</w:t>
      </w:r>
    </w:p>
    <w:p w14:paraId="0437217C" w14:textId="3EEAC2C4" w:rsidR="00E20E50" w:rsidRPr="00E20E50" w:rsidRDefault="00E20E50" w:rsidP="00E20E50">
      <w:pPr>
        <w:tabs>
          <w:tab w:val="left" w:pos="709"/>
        </w:tabs>
        <w:spacing w:after="0" w:line="276" w:lineRule="auto"/>
        <w:ind w:firstLine="851"/>
        <w:jc w:val="both"/>
        <w:rPr>
          <w:rFonts w:cs="Times New Roman"/>
          <w:bCs/>
          <w:szCs w:val="28"/>
        </w:rPr>
      </w:pPr>
      <w:r w:rsidRPr="00E20E50">
        <w:rPr>
          <w:rFonts w:cs="Times New Roman"/>
          <w:bCs/>
          <w:szCs w:val="28"/>
        </w:rPr>
        <w:t xml:space="preserve">Спектр рисков, включаемых в глобальные программы, расширяется. Помимо </w:t>
      </w:r>
      <w:proofErr w:type="gramStart"/>
      <w:r w:rsidRPr="00E20E50">
        <w:rPr>
          <w:rFonts w:cs="Times New Roman"/>
          <w:bCs/>
          <w:szCs w:val="28"/>
        </w:rPr>
        <w:t>традиционных</w:t>
      </w:r>
      <w:proofErr w:type="gramEnd"/>
      <w:r w:rsidRPr="00E20E50">
        <w:rPr>
          <w:rFonts w:cs="Times New Roman"/>
          <w:bCs/>
          <w:szCs w:val="28"/>
        </w:rPr>
        <w:t xml:space="preserve"> имущественных и ответственности, корпорации всё чаще включают инженерные риски, строительно-монтажные работы и гарантии. Одновременно растёт спрос на более сложные механизмы </w:t>
      </w:r>
      <w:r w:rsidRPr="00E20E50">
        <w:rPr>
          <w:rFonts w:cs="Times New Roman"/>
          <w:bCs/>
          <w:szCs w:val="28"/>
        </w:rPr>
        <w:lastRenderedPageBreak/>
        <w:t xml:space="preserve">финансирования рисков </w:t>
      </w:r>
      <w:r w:rsidR="000F5AD9">
        <w:rPr>
          <w:rFonts w:cs="Times New Roman"/>
          <w:bCs/>
          <w:szCs w:val="28"/>
        </w:rPr>
        <w:t>–</w:t>
      </w:r>
      <w:r w:rsidRPr="00E20E50">
        <w:rPr>
          <w:rFonts w:cs="Times New Roman"/>
          <w:bCs/>
          <w:szCs w:val="28"/>
        </w:rPr>
        <w:t xml:space="preserve"> </w:t>
      </w:r>
      <w:proofErr w:type="spellStart"/>
      <w:r w:rsidRPr="00E20E50">
        <w:rPr>
          <w:rFonts w:cs="Times New Roman"/>
          <w:bCs/>
          <w:szCs w:val="28"/>
        </w:rPr>
        <w:t>кэптивные</w:t>
      </w:r>
      <w:proofErr w:type="spellEnd"/>
      <w:r w:rsidRPr="00E20E50">
        <w:rPr>
          <w:rFonts w:cs="Times New Roman"/>
          <w:bCs/>
          <w:szCs w:val="28"/>
        </w:rPr>
        <w:t xml:space="preserve"> компании и параметрическое страхование.</w:t>
      </w:r>
    </w:p>
    <w:p w14:paraId="3CAE6D86" w14:textId="3442B67C" w:rsidR="00E20E50" w:rsidRPr="00E20E50" w:rsidRDefault="00E20E50" w:rsidP="00E20E50">
      <w:pPr>
        <w:tabs>
          <w:tab w:val="left" w:pos="709"/>
        </w:tabs>
        <w:spacing w:after="0" w:line="276" w:lineRule="auto"/>
        <w:ind w:firstLine="851"/>
        <w:jc w:val="both"/>
        <w:rPr>
          <w:rFonts w:cs="Times New Roman"/>
          <w:bCs/>
          <w:szCs w:val="28"/>
        </w:rPr>
      </w:pPr>
      <w:proofErr w:type="spellStart"/>
      <w:r w:rsidRPr="00E20E50">
        <w:rPr>
          <w:rFonts w:cs="Times New Roman"/>
          <w:bCs/>
          <w:szCs w:val="28"/>
        </w:rPr>
        <w:t>Swiss</w:t>
      </w:r>
      <w:proofErr w:type="spellEnd"/>
      <w:r w:rsidRPr="00E20E50">
        <w:rPr>
          <w:rFonts w:cs="Times New Roman"/>
          <w:bCs/>
          <w:szCs w:val="28"/>
        </w:rPr>
        <w:t xml:space="preserve"> </w:t>
      </w:r>
      <w:proofErr w:type="spellStart"/>
      <w:r w:rsidRPr="00E20E50">
        <w:rPr>
          <w:rFonts w:cs="Times New Roman"/>
          <w:bCs/>
          <w:szCs w:val="28"/>
        </w:rPr>
        <w:t>Re</w:t>
      </w:r>
      <w:proofErr w:type="spellEnd"/>
      <w:r w:rsidRPr="00E20E50">
        <w:rPr>
          <w:rFonts w:cs="Times New Roman"/>
          <w:bCs/>
          <w:szCs w:val="28"/>
        </w:rPr>
        <w:t xml:space="preserve"> в своём последнем отчёте подтверждает ро</w:t>
      </w:r>
      <w:proofErr w:type="gramStart"/>
      <w:r w:rsidRPr="00E20E50">
        <w:rPr>
          <w:rFonts w:cs="Times New Roman"/>
          <w:bCs/>
          <w:szCs w:val="28"/>
        </w:rPr>
        <w:t>ст спр</w:t>
      </w:r>
      <w:proofErr w:type="gramEnd"/>
      <w:r w:rsidRPr="00E20E50">
        <w:rPr>
          <w:rFonts w:cs="Times New Roman"/>
          <w:bCs/>
          <w:szCs w:val="28"/>
        </w:rPr>
        <w:t xml:space="preserve">оса на глобальные программы страхового покрытия. Структурные изменения мировой экономики </w:t>
      </w:r>
      <w:r w:rsidR="000F5AD9">
        <w:rPr>
          <w:rFonts w:cs="Times New Roman"/>
          <w:bCs/>
          <w:szCs w:val="28"/>
        </w:rPr>
        <w:t>–</w:t>
      </w:r>
      <w:r w:rsidRPr="00E20E50">
        <w:rPr>
          <w:rFonts w:cs="Times New Roman"/>
          <w:bCs/>
          <w:szCs w:val="28"/>
        </w:rPr>
        <w:t xml:space="preserve"> трансформация цепочек поставок, изменение торговых потоков и усиление промышленной политики </w:t>
      </w:r>
      <w:r w:rsidR="000F5AD9">
        <w:rPr>
          <w:rFonts w:cs="Times New Roman"/>
          <w:bCs/>
          <w:szCs w:val="28"/>
        </w:rPr>
        <w:t>–</w:t>
      </w:r>
      <w:r w:rsidRPr="00E20E50">
        <w:rPr>
          <w:rFonts w:cs="Times New Roman"/>
          <w:bCs/>
          <w:szCs w:val="28"/>
        </w:rPr>
        <w:t xml:space="preserve"> приводят к усложнению трансграничных рисков и повышают потребность в координированном </w:t>
      </w:r>
      <w:proofErr w:type="spellStart"/>
      <w:r w:rsidRPr="00E20E50">
        <w:rPr>
          <w:rFonts w:cs="Times New Roman"/>
          <w:bCs/>
          <w:szCs w:val="28"/>
        </w:rPr>
        <w:t>мультинациональном</w:t>
      </w:r>
      <w:proofErr w:type="spellEnd"/>
      <w:r w:rsidRPr="00E20E50">
        <w:rPr>
          <w:rFonts w:cs="Times New Roman"/>
          <w:bCs/>
          <w:szCs w:val="28"/>
        </w:rPr>
        <w:t xml:space="preserve"> страховании. Глобальные программы позволяют обеспечить единые условия страхования и централизованный контроль при соблюдении требований местного законодательства.</w:t>
      </w:r>
    </w:p>
    <w:p w14:paraId="16D516A1" w14:textId="312003FC" w:rsidR="00E20E50" w:rsidRPr="00E20E50" w:rsidRDefault="00E20E50" w:rsidP="00E20E50">
      <w:pPr>
        <w:tabs>
          <w:tab w:val="left" w:pos="709"/>
        </w:tabs>
        <w:spacing w:after="0" w:line="276" w:lineRule="auto"/>
        <w:ind w:firstLine="851"/>
        <w:jc w:val="both"/>
        <w:rPr>
          <w:rFonts w:cs="Times New Roman"/>
          <w:bCs/>
          <w:szCs w:val="28"/>
        </w:rPr>
      </w:pPr>
      <w:r w:rsidRPr="00E20E50">
        <w:rPr>
          <w:rFonts w:cs="Times New Roman"/>
          <w:bCs/>
          <w:szCs w:val="28"/>
        </w:rPr>
        <w:t xml:space="preserve">В то же время геоэкономическая фрагментация и использование торговых и финансовых инструментов в качестве элементов политического давления усложняют диверсификацию рисков. В отдельных случаях компании могут отказываться от глобальной программы в пользу региональных или </w:t>
      </w:r>
      <w:proofErr w:type="spellStart"/>
      <w:r w:rsidRPr="00E20E50">
        <w:rPr>
          <w:rFonts w:cs="Times New Roman"/>
          <w:bCs/>
          <w:szCs w:val="28"/>
        </w:rPr>
        <w:t>страновых</w:t>
      </w:r>
      <w:proofErr w:type="spellEnd"/>
      <w:r w:rsidRPr="00E20E50">
        <w:rPr>
          <w:rFonts w:cs="Times New Roman"/>
          <w:bCs/>
          <w:szCs w:val="28"/>
        </w:rPr>
        <w:t xml:space="preserve"> решений </w:t>
      </w:r>
      <w:r w:rsidR="000F5AD9">
        <w:rPr>
          <w:rFonts w:cs="Times New Roman"/>
          <w:bCs/>
          <w:szCs w:val="28"/>
        </w:rPr>
        <w:t>–</w:t>
      </w:r>
      <w:r w:rsidRPr="00E20E50">
        <w:rPr>
          <w:rFonts w:cs="Times New Roman"/>
          <w:bCs/>
          <w:szCs w:val="28"/>
        </w:rPr>
        <w:t xml:space="preserve"> например, если специфика риска или уровень убыточности в конкретной юрисдикции существенно влияет на общие условия программы. В таких ситуациях региональные страховщики, работающие преимущественно в Латинской Америке или странах Азиатско-Тихоокеанского региона, могут быть более подходящим решением.</w:t>
      </w:r>
    </w:p>
    <w:p w14:paraId="4CD63DF5" w14:textId="7012180D" w:rsidR="00647287" w:rsidRDefault="00E20E50" w:rsidP="00E20E50">
      <w:pPr>
        <w:tabs>
          <w:tab w:val="left" w:pos="709"/>
        </w:tabs>
        <w:spacing w:after="0" w:line="276" w:lineRule="auto"/>
        <w:ind w:firstLine="851"/>
        <w:jc w:val="both"/>
        <w:rPr>
          <w:rFonts w:cs="Times New Roman"/>
          <w:bCs/>
          <w:szCs w:val="28"/>
        </w:rPr>
      </w:pPr>
      <w:r w:rsidRPr="00E20E50">
        <w:rPr>
          <w:rFonts w:cs="Times New Roman"/>
          <w:bCs/>
          <w:szCs w:val="28"/>
        </w:rPr>
        <w:t xml:space="preserve">Таким образом, реализация глобальных программ в условиях геополитической фрагментации действительно усложнилась. Необходимо учитывать растущее число регуляторных и правовых особенностей отдельных стран. Тем не </w:t>
      </w:r>
      <w:proofErr w:type="gramStart"/>
      <w:r w:rsidRPr="00E20E50">
        <w:rPr>
          <w:rFonts w:cs="Times New Roman"/>
          <w:bCs/>
          <w:szCs w:val="28"/>
        </w:rPr>
        <w:t>менее</w:t>
      </w:r>
      <w:proofErr w:type="gramEnd"/>
      <w:r w:rsidRPr="00E20E50">
        <w:rPr>
          <w:rFonts w:cs="Times New Roman"/>
          <w:bCs/>
          <w:szCs w:val="28"/>
        </w:rPr>
        <w:t xml:space="preserve"> глобальные программы сохраняют ключевые преимущества </w:t>
      </w:r>
      <w:r w:rsidR="000F5AD9">
        <w:rPr>
          <w:rFonts w:cs="Times New Roman"/>
          <w:bCs/>
          <w:szCs w:val="28"/>
        </w:rPr>
        <w:t>–</w:t>
      </w:r>
      <w:r w:rsidRPr="00E20E50">
        <w:rPr>
          <w:rFonts w:cs="Times New Roman"/>
          <w:bCs/>
          <w:szCs w:val="28"/>
        </w:rPr>
        <w:t xml:space="preserve"> прозрачность, централизованный контроль условий страхования и эффективное управление рисками. В этих условиях особое значение приобретает выстраивание устойчивого взаимодействия между страхователями, брокерами и страховщиками.</w:t>
      </w:r>
    </w:p>
    <w:p w14:paraId="63C0F0B7" w14:textId="02F4117F" w:rsidR="00486DFB" w:rsidRPr="00647287" w:rsidRDefault="00486DFB" w:rsidP="00D3273B">
      <w:pPr>
        <w:spacing w:after="0" w:line="276" w:lineRule="auto"/>
        <w:ind w:firstLine="851"/>
        <w:jc w:val="both"/>
        <w:rPr>
          <w:rFonts w:cs="Times New Roman"/>
          <w:bCs/>
          <w:szCs w:val="28"/>
        </w:rPr>
      </w:pPr>
      <w:r w:rsidRPr="00647287">
        <w:rPr>
          <w:rFonts w:cs="Times New Roman"/>
          <w:b/>
          <w:bCs/>
          <w:szCs w:val="28"/>
        </w:rPr>
        <w:t>Источник</w:t>
      </w:r>
      <w:r w:rsidRPr="00647287">
        <w:rPr>
          <w:rFonts w:cs="Times New Roman"/>
          <w:bCs/>
          <w:szCs w:val="28"/>
        </w:rPr>
        <w:t xml:space="preserve">: </w:t>
      </w:r>
      <w:hyperlink r:id="rId12" w:history="1">
        <w:r w:rsidR="00267F3A" w:rsidRPr="00A812EA">
          <w:rPr>
            <w:rStyle w:val="ac"/>
          </w:rPr>
          <w:t>https://www.commercialriskonline.com/global-programmes-as-relevant-as-ever-in-a-fragmented-world/</w:t>
        </w:r>
      </w:hyperlink>
      <w:r w:rsidR="00267F3A">
        <w:t xml:space="preserve"> </w:t>
      </w:r>
    </w:p>
    <w:p w14:paraId="7BDF96D6" w14:textId="77777777" w:rsidR="00486DFB" w:rsidRPr="00647287" w:rsidRDefault="00486DFB" w:rsidP="00D3273B">
      <w:pPr>
        <w:spacing w:after="0" w:line="276" w:lineRule="auto"/>
        <w:ind w:firstLine="851"/>
        <w:jc w:val="both"/>
        <w:rPr>
          <w:rFonts w:cs="Times New Roman"/>
          <w:bCs/>
          <w:szCs w:val="28"/>
        </w:rPr>
      </w:pPr>
    </w:p>
    <w:p w14:paraId="4BAA8155" w14:textId="3ABC284E" w:rsidR="00486DFB" w:rsidRPr="00274296" w:rsidRDefault="00E452FD" w:rsidP="00D3273B">
      <w:pPr>
        <w:pStyle w:val="1"/>
        <w:spacing w:before="0" w:after="0" w:line="276" w:lineRule="auto"/>
        <w:ind w:firstLine="851"/>
        <w:jc w:val="both"/>
        <w:rPr>
          <w:rFonts w:ascii="Times New Roman" w:hAnsi="Times New Roman" w:cs="Times New Roman"/>
          <w:b/>
          <w:color w:val="000000" w:themeColor="text1"/>
          <w:kern w:val="0"/>
          <w:sz w:val="28"/>
          <w:szCs w:val="28"/>
          <w14:ligatures w14:val="none"/>
        </w:rPr>
      </w:pPr>
      <w:bookmarkStart w:id="4" w:name="_Toc222345224"/>
      <w:r>
        <w:rPr>
          <w:rFonts w:ascii="Times New Roman" w:hAnsi="Times New Roman" w:cs="Times New Roman"/>
          <w:b/>
          <w:color w:val="000000" w:themeColor="text1"/>
          <w:kern w:val="0"/>
          <w:sz w:val="28"/>
          <w:szCs w:val="28"/>
          <w14:ligatures w14:val="none"/>
        </w:rPr>
        <w:t>5</w:t>
      </w:r>
      <w:r w:rsidR="00486DFB" w:rsidRPr="00274296">
        <w:rPr>
          <w:rFonts w:ascii="Times New Roman" w:hAnsi="Times New Roman" w:cs="Times New Roman"/>
          <w:b/>
          <w:color w:val="000000" w:themeColor="text1"/>
          <w:kern w:val="0"/>
          <w:sz w:val="28"/>
          <w:szCs w:val="28"/>
          <w14:ligatures w14:val="none"/>
        </w:rPr>
        <w:t>.</w:t>
      </w:r>
      <w:r w:rsidR="00486DFB" w:rsidRPr="00274296">
        <w:rPr>
          <w:rFonts w:ascii="Times New Roman" w:hAnsi="Times New Roman" w:cs="Times New Roman"/>
          <w:b/>
          <w:color w:val="000000" w:themeColor="text1"/>
          <w:kern w:val="0"/>
          <w:sz w:val="28"/>
          <w:szCs w:val="28"/>
          <w14:ligatures w14:val="none"/>
        </w:rPr>
        <w:tab/>
      </w:r>
      <w:r w:rsidR="00267F3A" w:rsidRPr="00267F3A">
        <w:rPr>
          <w:rFonts w:ascii="Times New Roman" w:hAnsi="Times New Roman" w:cs="Times New Roman"/>
          <w:b/>
          <w:color w:val="000000" w:themeColor="text1"/>
          <w:kern w:val="0"/>
          <w:sz w:val="28"/>
          <w:szCs w:val="28"/>
          <w14:ligatures w14:val="none"/>
        </w:rPr>
        <w:t xml:space="preserve">Риск-аппетит играет ключевую роль в принятии решений о страховом покрытии в условиях смягчения рынка </w:t>
      </w:r>
      <w:r w:rsidR="000F5AD9">
        <w:rPr>
          <w:rFonts w:ascii="Times New Roman" w:hAnsi="Times New Roman" w:cs="Times New Roman"/>
          <w:b/>
          <w:color w:val="000000" w:themeColor="text1"/>
          <w:kern w:val="0"/>
          <w:sz w:val="28"/>
          <w:szCs w:val="28"/>
          <w14:ligatures w14:val="none"/>
        </w:rPr>
        <w:t>–</w:t>
      </w:r>
      <w:r w:rsidR="00267F3A" w:rsidRPr="00267F3A">
        <w:rPr>
          <w:rFonts w:ascii="Times New Roman" w:hAnsi="Times New Roman" w:cs="Times New Roman"/>
          <w:b/>
          <w:color w:val="000000" w:themeColor="text1"/>
          <w:kern w:val="0"/>
          <w:sz w:val="28"/>
          <w:szCs w:val="28"/>
          <w14:ligatures w14:val="none"/>
        </w:rPr>
        <w:t xml:space="preserve"> мнение швейцарских </w:t>
      </w:r>
      <w:proofErr w:type="gramStart"/>
      <w:r w:rsidR="00267F3A" w:rsidRPr="00267F3A">
        <w:rPr>
          <w:rFonts w:ascii="Times New Roman" w:hAnsi="Times New Roman" w:cs="Times New Roman"/>
          <w:b/>
          <w:color w:val="000000" w:themeColor="text1"/>
          <w:kern w:val="0"/>
          <w:sz w:val="28"/>
          <w:szCs w:val="28"/>
          <w14:ligatures w14:val="none"/>
        </w:rPr>
        <w:t>риск-менеджеров</w:t>
      </w:r>
      <w:proofErr w:type="gramEnd"/>
      <w:r w:rsidR="00267F3A" w:rsidRPr="00267F3A">
        <w:rPr>
          <w:rFonts w:ascii="Times New Roman" w:hAnsi="Times New Roman" w:cs="Times New Roman"/>
          <w:b/>
          <w:color w:val="000000" w:themeColor="text1"/>
          <w:kern w:val="0"/>
          <w:sz w:val="28"/>
          <w:szCs w:val="28"/>
          <w14:ligatures w14:val="none"/>
        </w:rPr>
        <w:t xml:space="preserve"> SIRM.</w:t>
      </w:r>
      <w:bookmarkEnd w:id="4"/>
    </w:p>
    <w:p w14:paraId="0E05119F" w14:textId="4EC45745" w:rsidR="00267F3A" w:rsidRPr="00267F3A" w:rsidRDefault="00267F3A" w:rsidP="00267F3A">
      <w:pPr>
        <w:tabs>
          <w:tab w:val="left" w:pos="709"/>
        </w:tabs>
        <w:spacing w:after="0" w:line="276" w:lineRule="auto"/>
        <w:ind w:firstLine="851"/>
        <w:jc w:val="both"/>
        <w:rPr>
          <w:rFonts w:cs="Times New Roman"/>
          <w:bCs/>
          <w:szCs w:val="28"/>
        </w:rPr>
      </w:pPr>
      <w:r w:rsidRPr="00267F3A">
        <w:rPr>
          <w:rFonts w:cs="Times New Roman"/>
          <w:bCs/>
          <w:szCs w:val="28"/>
        </w:rPr>
        <w:t xml:space="preserve">Риск-менеджерам следует рассматривать возможность снижения франшиз и расширения страхового покрытия по мере смягчения рынка, но только в том случае, если текущие параметры удержания риска не соответствуют </w:t>
      </w:r>
      <w:proofErr w:type="gramStart"/>
      <w:r w:rsidRPr="00267F3A">
        <w:rPr>
          <w:rFonts w:cs="Times New Roman"/>
          <w:bCs/>
          <w:szCs w:val="28"/>
        </w:rPr>
        <w:t>установленному</w:t>
      </w:r>
      <w:proofErr w:type="gramEnd"/>
      <w:r w:rsidRPr="00267F3A">
        <w:rPr>
          <w:rFonts w:cs="Times New Roman"/>
          <w:bCs/>
          <w:szCs w:val="28"/>
        </w:rPr>
        <w:t xml:space="preserve"> риск-аппетиту организации. </w:t>
      </w:r>
      <w:r w:rsidR="000F5AD9" w:rsidRPr="000F5AD9">
        <w:rPr>
          <w:rFonts w:cs="Times New Roman"/>
          <w:bCs/>
          <w:szCs w:val="28"/>
        </w:rPr>
        <w:t xml:space="preserve">В противном случае сэкономленные средства, как правило, возвращаются в бюджет </w:t>
      </w:r>
      <w:r w:rsidR="000F5AD9" w:rsidRPr="000F5AD9">
        <w:rPr>
          <w:rFonts w:cs="Times New Roman"/>
          <w:bCs/>
          <w:szCs w:val="28"/>
        </w:rPr>
        <w:lastRenderedPageBreak/>
        <w:t>компании, а не направляются на улучшение страхового покрытия.</w:t>
      </w:r>
      <w:r w:rsidRPr="00267F3A">
        <w:rPr>
          <w:rFonts w:cs="Times New Roman"/>
          <w:bCs/>
          <w:szCs w:val="28"/>
        </w:rPr>
        <w:t xml:space="preserve"> Тем не </w:t>
      </w:r>
      <w:proofErr w:type="gramStart"/>
      <w:r w:rsidRPr="00267F3A">
        <w:rPr>
          <w:rFonts w:cs="Times New Roman"/>
          <w:bCs/>
          <w:szCs w:val="28"/>
        </w:rPr>
        <w:t>менее</w:t>
      </w:r>
      <w:proofErr w:type="gramEnd"/>
      <w:r w:rsidRPr="00267F3A">
        <w:rPr>
          <w:rFonts w:cs="Times New Roman"/>
          <w:bCs/>
          <w:szCs w:val="28"/>
        </w:rPr>
        <w:t xml:space="preserve"> члены правления SIRM подчёркивают, что даже в таком случае высвобожденные средства целесообразно инвестировать в мероприятия по предотвращению убытков.</w:t>
      </w:r>
    </w:p>
    <w:p w14:paraId="554AB309" w14:textId="7BA7CE9F" w:rsidR="00267F3A" w:rsidRPr="00267F3A" w:rsidRDefault="00267F3A" w:rsidP="00267F3A">
      <w:pPr>
        <w:tabs>
          <w:tab w:val="left" w:pos="709"/>
        </w:tabs>
        <w:spacing w:after="0" w:line="276" w:lineRule="auto"/>
        <w:ind w:firstLine="851"/>
        <w:jc w:val="both"/>
        <w:rPr>
          <w:rFonts w:cs="Times New Roman"/>
          <w:bCs/>
          <w:szCs w:val="28"/>
        </w:rPr>
      </w:pPr>
      <w:r w:rsidRPr="00267F3A">
        <w:rPr>
          <w:rFonts w:cs="Times New Roman"/>
          <w:bCs/>
          <w:szCs w:val="28"/>
        </w:rPr>
        <w:t xml:space="preserve">«Оптимальный подход </w:t>
      </w:r>
      <w:r w:rsidR="000F5AD9">
        <w:rPr>
          <w:rFonts w:cs="Times New Roman"/>
          <w:bCs/>
          <w:szCs w:val="28"/>
        </w:rPr>
        <w:t>–</w:t>
      </w:r>
      <w:r w:rsidRPr="00267F3A">
        <w:rPr>
          <w:rFonts w:cs="Times New Roman"/>
          <w:bCs/>
          <w:szCs w:val="28"/>
        </w:rPr>
        <w:t xml:space="preserve"> гибридный: вернуться в финансовый департамент и сказать: мы получили экономию по страховой премии, часть этой суммы остаётся чистой </w:t>
      </w:r>
      <w:r w:rsidR="000F5AD9">
        <w:rPr>
          <w:rFonts w:cs="Times New Roman"/>
          <w:bCs/>
          <w:szCs w:val="28"/>
        </w:rPr>
        <w:t>прибылью</w:t>
      </w:r>
      <w:r w:rsidRPr="00267F3A">
        <w:rPr>
          <w:rFonts w:cs="Times New Roman"/>
          <w:bCs/>
          <w:szCs w:val="28"/>
        </w:rPr>
        <w:t xml:space="preserve">, а часть реинвестируется в снижение франшиз и расширение покрытия», </w:t>
      </w:r>
      <w:r w:rsidR="000F5AD9">
        <w:rPr>
          <w:rFonts w:cs="Times New Roman"/>
          <w:bCs/>
          <w:szCs w:val="28"/>
        </w:rPr>
        <w:t>–</w:t>
      </w:r>
      <w:r w:rsidRPr="00267F3A">
        <w:rPr>
          <w:rFonts w:cs="Times New Roman"/>
          <w:bCs/>
          <w:szCs w:val="28"/>
        </w:rPr>
        <w:t xml:space="preserve"> заявил </w:t>
      </w:r>
      <w:proofErr w:type="spellStart"/>
      <w:r w:rsidRPr="00267F3A">
        <w:rPr>
          <w:rFonts w:cs="Times New Roman"/>
          <w:bCs/>
          <w:szCs w:val="28"/>
        </w:rPr>
        <w:t>Юррит</w:t>
      </w:r>
      <w:proofErr w:type="spellEnd"/>
      <w:r w:rsidRPr="00267F3A">
        <w:rPr>
          <w:rFonts w:cs="Times New Roman"/>
          <w:bCs/>
          <w:szCs w:val="28"/>
        </w:rPr>
        <w:t xml:space="preserve"> </w:t>
      </w:r>
      <w:proofErr w:type="spellStart"/>
      <w:r w:rsidRPr="00267F3A">
        <w:rPr>
          <w:rFonts w:cs="Times New Roman"/>
          <w:bCs/>
          <w:szCs w:val="28"/>
        </w:rPr>
        <w:t>Хербер</w:t>
      </w:r>
      <w:proofErr w:type="spellEnd"/>
      <w:r w:rsidRPr="00267F3A">
        <w:rPr>
          <w:rFonts w:cs="Times New Roman"/>
          <w:bCs/>
          <w:szCs w:val="28"/>
        </w:rPr>
        <w:t xml:space="preserve">, член правления Швейцарской ассоциации управления рисками и страхованием (SIRM). При этом он подчеркнул, что уровни удержания риска должны соответствовать </w:t>
      </w:r>
      <w:proofErr w:type="gramStart"/>
      <w:r w:rsidRPr="00267F3A">
        <w:rPr>
          <w:rFonts w:cs="Times New Roman"/>
          <w:bCs/>
          <w:szCs w:val="28"/>
        </w:rPr>
        <w:t>риск-аппетиту</w:t>
      </w:r>
      <w:proofErr w:type="gramEnd"/>
      <w:r w:rsidRPr="00267F3A">
        <w:rPr>
          <w:rFonts w:cs="Times New Roman"/>
          <w:bCs/>
          <w:szCs w:val="28"/>
        </w:rPr>
        <w:t xml:space="preserve"> компании, и снижать их существенно ниже этого уровня нецелесообразно.</w:t>
      </w:r>
    </w:p>
    <w:p w14:paraId="3440255D" w14:textId="77777777" w:rsidR="00267F3A" w:rsidRPr="00267F3A" w:rsidRDefault="00267F3A" w:rsidP="00267F3A">
      <w:pPr>
        <w:tabs>
          <w:tab w:val="left" w:pos="709"/>
        </w:tabs>
        <w:spacing w:after="0" w:line="276" w:lineRule="auto"/>
        <w:ind w:firstLine="851"/>
        <w:jc w:val="both"/>
        <w:rPr>
          <w:rFonts w:cs="Times New Roman"/>
          <w:bCs/>
          <w:szCs w:val="28"/>
        </w:rPr>
      </w:pPr>
      <w:r w:rsidRPr="00267F3A">
        <w:rPr>
          <w:rFonts w:cs="Times New Roman"/>
          <w:bCs/>
          <w:szCs w:val="28"/>
        </w:rPr>
        <w:t xml:space="preserve">По мнению </w:t>
      </w:r>
      <w:proofErr w:type="spellStart"/>
      <w:r w:rsidRPr="00267F3A">
        <w:rPr>
          <w:rFonts w:cs="Times New Roman"/>
          <w:bCs/>
          <w:szCs w:val="28"/>
        </w:rPr>
        <w:t>Хербера</w:t>
      </w:r>
      <w:proofErr w:type="spellEnd"/>
      <w:r w:rsidRPr="00267F3A">
        <w:rPr>
          <w:rFonts w:cs="Times New Roman"/>
          <w:bCs/>
          <w:szCs w:val="28"/>
        </w:rPr>
        <w:t>, важно использовать период мягкого рынка для улучшения условий страхования, чтобы сохранить пространство для манёвра при последующем ужесточении рынка. Если в период благоприятной конъюнктуры не предусмотреть достаточную гибкость в условиях полиса, впоследствии будет сложно вновь увеличить франшизу или период ожидания.</w:t>
      </w:r>
    </w:p>
    <w:p w14:paraId="69B1A5D0" w14:textId="77777777" w:rsidR="00267F3A" w:rsidRPr="00267F3A" w:rsidRDefault="00267F3A" w:rsidP="00267F3A">
      <w:pPr>
        <w:tabs>
          <w:tab w:val="left" w:pos="709"/>
        </w:tabs>
        <w:spacing w:after="0" w:line="276" w:lineRule="auto"/>
        <w:ind w:firstLine="851"/>
        <w:jc w:val="both"/>
        <w:rPr>
          <w:rFonts w:cs="Times New Roman"/>
          <w:bCs/>
          <w:szCs w:val="28"/>
        </w:rPr>
      </w:pPr>
      <w:r w:rsidRPr="00267F3A">
        <w:rPr>
          <w:rFonts w:cs="Times New Roman"/>
          <w:bCs/>
          <w:szCs w:val="28"/>
        </w:rPr>
        <w:t xml:space="preserve">Кроме того, </w:t>
      </w:r>
      <w:proofErr w:type="spellStart"/>
      <w:r w:rsidRPr="00267F3A">
        <w:rPr>
          <w:rFonts w:cs="Times New Roman"/>
          <w:bCs/>
          <w:szCs w:val="28"/>
        </w:rPr>
        <w:t>Хербер</w:t>
      </w:r>
      <w:proofErr w:type="spellEnd"/>
      <w:r w:rsidRPr="00267F3A">
        <w:rPr>
          <w:rFonts w:cs="Times New Roman"/>
          <w:bCs/>
          <w:szCs w:val="28"/>
        </w:rPr>
        <w:t xml:space="preserve"> считает, что в условиях смягчения рынка страховщикам следует активнее предлагать дополнительные сервисы с добавленной стоимостью, стимулируя компании поддерживать объём страховых программ. Речь идёт о поддержке проектов по обеспечению непрерывности бизнеса, количественной оценке рисков, анализе цепочек поставок, анализе </w:t>
      </w:r>
      <w:proofErr w:type="spellStart"/>
      <w:r w:rsidRPr="00267F3A">
        <w:rPr>
          <w:rFonts w:cs="Times New Roman"/>
          <w:bCs/>
          <w:szCs w:val="28"/>
        </w:rPr>
        <w:t>киберрисков</w:t>
      </w:r>
      <w:proofErr w:type="spellEnd"/>
      <w:r w:rsidRPr="00267F3A">
        <w:rPr>
          <w:rFonts w:cs="Times New Roman"/>
          <w:bCs/>
          <w:szCs w:val="28"/>
        </w:rPr>
        <w:t xml:space="preserve"> и предоставлении специализированной экспертизы. Страховщики всё чаще выступают не только как поставщики покрытия, но и как партнёры, делясь знаниями и способствуя снижению рискового профиля клиента.</w:t>
      </w:r>
    </w:p>
    <w:p w14:paraId="44DDF427" w14:textId="12597692" w:rsidR="00267F3A" w:rsidRPr="00267F3A" w:rsidRDefault="00267F3A" w:rsidP="00267F3A">
      <w:pPr>
        <w:tabs>
          <w:tab w:val="left" w:pos="709"/>
        </w:tabs>
        <w:spacing w:after="0" w:line="276" w:lineRule="auto"/>
        <w:ind w:firstLine="851"/>
        <w:jc w:val="both"/>
        <w:rPr>
          <w:rFonts w:cs="Times New Roman"/>
          <w:bCs/>
          <w:szCs w:val="28"/>
        </w:rPr>
      </w:pPr>
      <w:r w:rsidRPr="00267F3A">
        <w:rPr>
          <w:rFonts w:cs="Times New Roman"/>
          <w:bCs/>
          <w:szCs w:val="28"/>
        </w:rPr>
        <w:t xml:space="preserve">Другой член правления SIRM, </w:t>
      </w:r>
      <w:proofErr w:type="spellStart"/>
      <w:r w:rsidRPr="00267F3A">
        <w:rPr>
          <w:rFonts w:cs="Times New Roman"/>
          <w:bCs/>
          <w:szCs w:val="28"/>
        </w:rPr>
        <w:t>Рокко</w:t>
      </w:r>
      <w:proofErr w:type="spellEnd"/>
      <w:r w:rsidRPr="00267F3A">
        <w:rPr>
          <w:rFonts w:cs="Times New Roman"/>
          <w:bCs/>
          <w:szCs w:val="28"/>
        </w:rPr>
        <w:t xml:space="preserve"> </w:t>
      </w:r>
      <w:proofErr w:type="spellStart"/>
      <w:r w:rsidRPr="00267F3A">
        <w:rPr>
          <w:rFonts w:cs="Times New Roman"/>
          <w:bCs/>
          <w:szCs w:val="28"/>
        </w:rPr>
        <w:t>Боццелли</w:t>
      </w:r>
      <w:proofErr w:type="spellEnd"/>
      <w:r w:rsidRPr="00267F3A">
        <w:rPr>
          <w:rFonts w:cs="Times New Roman"/>
          <w:bCs/>
          <w:szCs w:val="28"/>
        </w:rPr>
        <w:t>, отметил, что решение о том, направлять ли экономию на расширение покрытия или фиксировать её как сокращение расходов, зависит от допустимого уровня удержания риска в каждой конкретной компан</w:t>
      </w:r>
      <w:proofErr w:type="gramStart"/>
      <w:r w:rsidRPr="00267F3A">
        <w:rPr>
          <w:rFonts w:cs="Times New Roman"/>
          <w:bCs/>
          <w:szCs w:val="28"/>
        </w:rPr>
        <w:t>ии и её</w:t>
      </w:r>
      <w:proofErr w:type="gramEnd"/>
      <w:r w:rsidRPr="00267F3A">
        <w:rPr>
          <w:rFonts w:cs="Times New Roman"/>
          <w:bCs/>
          <w:szCs w:val="28"/>
        </w:rPr>
        <w:t xml:space="preserve"> политики управления рисками. В условиях снижения ставок он хотел бы видеть от страховщиков продукты, </w:t>
      </w:r>
      <w:r w:rsidR="000F5AD9">
        <w:rPr>
          <w:rFonts w:cs="Times New Roman"/>
          <w:bCs/>
          <w:szCs w:val="28"/>
        </w:rPr>
        <w:t>«привязанные к результату»</w:t>
      </w:r>
      <w:r w:rsidRPr="00267F3A">
        <w:rPr>
          <w:rFonts w:cs="Times New Roman"/>
          <w:bCs/>
          <w:szCs w:val="28"/>
        </w:rPr>
        <w:t xml:space="preserve">, которые поощряют подтверждённую эффективность мер по контролю убытков и инициатив в области устойчивого развития. </w:t>
      </w:r>
      <w:proofErr w:type="spellStart"/>
      <w:r w:rsidRPr="00267F3A">
        <w:rPr>
          <w:rFonts w:cs="Times New Roman"/>
          <w:bCs/>
          <w:szCs w:val="28"/>
        </w:rPr>
        <w:t>Боццелли</w:t>
      </w:r>
      <w:proofErr w:type="spellEnd"/>
      <w:r w:rsidRPr="00267F3A">
        <w:rPr>
          <w:rFonts w:cs="Times New Roman"/>
          <w:bCs/>
          <w:szCs w:val="28"/>
        </w:rPr>
        <w:t xml:space="preserve"> также выступает за более оперативный обмен данными и развитие аналитики, в том числе с использованием ИИ, для более тесного и прозрачного взаимодействия между страхователями и андеррайтерами.</w:t>
      </w:r>
    </w:p>
    <w:p w14:paraId="348986EE" w14:textId="140F877C" w:rsidR="00267F3A" w:rsidRPr="00267F3A" w:rsidRDefault="00267F3A" w:rsidP="00267F3A">
      <w:pPr>
        <w:tabs>
          <w:tab w:val="left" w:pos="709"/>
        </w:tabs>
        <w:spacing w:after="0" w:line="276" w:lineRule="auto"/>
        <w:ind w:firstLine="851"/>
        <w:jc w:val="both"/>
        <w:rPr>
          <w:rFonts w:cs="Times New Roman"/>
          <w:bCs/>
          <w:szCs w:val="28"/>
        </w:rPr>
      </w:pPr>
      <w:r w:rsidRPr="00267F3A">
        <w:rPr>
          <w:rFonts w:cs="Times New Roman"/>
          <w:bCs/>
          <w:szCs w:val="28"/>
        </w:rPr>
        <w:t>Михаэль</w:t>
      </w:r>
      <w:proofErr w:type="gramStart"/>
      <w:r w:rsidRPr="00267F3A">
        <w:rPr>
          <w:rFonts w:cs="Times New Roman"/>
          <w:bCs/>
          <w:szCs w:val="28"/>
        </w:rPr>
        <w:t xml:space="preserve"> Д</w:t>
      </w:r>
      <w:proofErr w:type="gramEnd"/>
      <w:r w:rsidRPr="00267F3A">
        <w:rPr>
          <w:rFonts w:cs="Times New Roman"/>
          <w:bCs/>
          <w:szCs w:val="28"/>
        </w:rPr>
        <w:t xml:space="preserve">е </w:t>
      </w:r>
      <w:proofErr w:type="spellStart"/>
      <w:r w:rsidRPr="00267F3A">
        <w:rPr>
          <w:rFonts w:cs="Times New Roman"/>
          <w:bCs/>
          <w:szCs w:val="28"/>
        </w:rPr>
        <w:t>Бони</w:t>
      </w:r>
      <w:proofErr w:type="spellEnd"/>
      <w:r w:rsidRPr="00267F3A">
        <w:rPr>
          <w:rFonts w:cs="Times New Roman"/>
          <w:bCs/>
          <w:szCs w:val="28"/>
        </w:rPr>
        <w:t xml:space="preserve">, руководитель корпоративного казначейства и страхования </w:t>
      </w:r>
      <w:proofErr w:type="spellStart"/>
      <w:r w:rsidRPr="00267F3A">
        <w:rPr>
          <w:rFonts w:cs="Times New Roman"/>
          <w:bCs/>
          <w:szCs w:val="28"/>
        </w:rPr>
        <w:t>Forbo</w:t>
      </w:r>
      <w:proofErr w:type="spellEnd"/>
      <w:r w:rsidRPr="00267F3A">
        <w:rPr>
          <w:rFonts w:cs="Times New Roman"/>
          <w:bCs/>
          <w:szCs w:val="28"/>
        </w:rPr>
        <w:t xml:space="preserve"> </w:t>
      </w:r>
      <w:proofErr w:type="spellStart"/>
      <w:r w:rsidRPr="00267F3A">
        <w:rPr>
          <w:rFonts w:cs="Times New Roman"/>
          <w:bCs/>
          <w:szCs w:val="28"/>
        </w:rPr>
        <w:t>Management</w:t>
      </w:r>
      <w:proofErr w:type="spellEnd"/>
      <w:r w:rsidRPr="00267F3A">
        <w:rPr>
          <w:rFonts w:cs="Times New Roman"/>
          <w:bCs/>
          <w:szCs w:val="28"/>
        </w:rPr>
        <w:t xml:space="preserve"> SA и член правления SIRM, отметил, что </w:t>
      </w:r>
      <w:r w:rsidRPr="00267F3A">
        <w:rPr>
          <w:rFonts w:cs="Times New Roman"/>
          <w:bCs/>
          <w:szCs w:val="28"/>
        </w:rPr>
        <w:lastRenderedPageBreak/>
        <w:t>решение во многом зависит от конкретно</w:t>
      </w:r>
      <w:r w:rsidR="000F5AD9">
        <w:rPr>
          <w:rFonts w:cs="Times New Roman"/>
          <w:bCs/>
          <w:szCs w:val="28"/>
        </w:rPr>
        <w:t>го</w:t>
      </w:r>
      <w:r w:rsidRPr="00267F3A">
        <w:rPr>
          <w:rFonts w:cs="Times New Roman"/>
          <w:bCs/>
          <w:szCs w:val="28"/>
        </w:rPr>
        <w:t xml:space="preserve"> </w:t>
      </w:r>
      <w:r w:rsidR="000F5AD9">
        <w:rPr>
          <w:rFonts w:cs="Times New Roman"/>
          <w:bCs/>
          <w:szCs w:val="28"/>
        </w:rPr>
        <w:t>вида</w:t>
      </w:r>
      <w:r w:rsidRPr="00267F3A">
        <w:rPr>
          <w:rFonts w:cs="Times New Roman"/>
          <w:bCs/>
          <w:szCs w:val="28"/>
        </w:rPr>
        <w:t xml:space="preserve"> страхования. В целом же он склонялся бы к снижению премии, если действующие уровни покрытия и франшиз соответствуют рисковому профилю компании.</w:t>
      </w:r>
    </w:p>
    <w:p w14:paraId="5CEF4F45" w14:textId="755ED8A6" w:rsidR="00486DFB" w:rsidRPr="00F62147" w:rsidRDefault="00267F3A" w:rsidP="00267F3A">
      <w:pPr>
        <w:tabs>
          <w:tab w:val="left" w:pos="709"/>
        </w:tabs>
        <w:spacing w:after="0" w:line="276" w:lineRule="auto"/>
        <w:ind w:firstLine="851"/>
        <w:jc w:val="both"/>
        <w:rPr>
          <w:rFonts w:cs="Times New Roman"/>
          <w:bCs/>
          <w:szCs w:val="28"/>
        </w:rPr>
      </w:pPr>
      <w:proofErr w:type="spellStart"/>
      <w:r w:rsidRPr="00267F3A">
        <w:rPr>
          <w:rFonts w:cs="Times New Roman"/>
          <w:bCs/>
          <w:szCs w:val="28"/>
        </w:rPr>
        <w:t>Сабрина</w:t>
      </w:r>
      <w:proofErr w:type="spellEnd"/>
      <w:r w:rsidRPr="00267F3A">
        <w:rPr>
          <w:rFonts w:cs="Times New Roman"/>
          <w:bCs/>
          <w:szCs w:val="28"/>
        </w:rPr>
        <w:t xml:space="preserve"> </w:t>
      </w:r>
      <w:proofErr w:type="spellStart"/>
      <w:r w:rsidRPr="00267F3A">
        <w:rPr>
          <w:rFonts w:cs="Times New Roman"/>
          <w:bCs/>
          <w:szCs w:val="28"/>
        </w:rPr>
        <w:t>Хартуш</w:t>
      </w:r>
      <w:proofErr w:type="spellEnd"/>
      <w:r w:rsidRPr="00267F3A">
        <w:rPr>
          <w:rFonts w:cs="Times New Roman"/>
          <w:bCs/>
          <w:szCs w:val="28"/>
        </w:rPr>
        <w:t xml:space="preserve">, президент SIRM и глобальный руководитель по страхованию компании </w:t>
      </w:r>
      <w:proofErr w:type="spellStart"/>
      <w:r w:rsidRPr="00267F3A">
        <w:rPr>
          <w:rFonts w:cs="Times New Roman"/>
          <w:bCs/>
          <w:szCs w:val="28"/>
        </w:rPr>
        <w:t>Triumph</w:t>
      </w:r>
      <w:proofErr w:type="spellEnd"/>
      <w:r w:rsidRPr="00267F3A">
        <w:rPr>
          <w:rFonts w:cs="Times New Roman"/>
          <w:bCs/>
          <w:szCs w:val="28"/>
        </w:rPr>
        <w:t xml:space="preserve">, рекомендовала коллегам использовать экономию по премиям для финансирования программ предотвращения убытков и оценки рисков. Что касается страховщиков, по её мнению, им следует продолжать совершенствовать сервис. Хотя отрасль уже продвинулась в развитии партнёрских отношений с клиентами </w:t>
      </w:r>
      <w:r w:rsidR="000F5AD9">
        <w:rPr>
          <w:rFonts w:cs="Times New Roman"/>
          <w:bCs/>
          <w:szCs w:val="28"/>
        </w:rPr>
        <w:t>–</w:t>
      </w:r>
      <w:r w:rsidRPr="00267F3A">
        <w:rPr>
          <w:rFonts w:cs="Times New Roman"/>
          <w:bCs/>
          <w:szCs w:val="28"/>
        </w:rPr>
        <w:t xml:space="preserve"> особенно в части обмена лучшими практиками и поддержки в сфере предотвращения убытков, </w:t>
      </w:r>
      <w:r w:rsidR="000F5AD9">
        <w:rPr>
          <w:rFonts w:cs="Times New Roman"/>
          <w:bCs/>
          <w:szCs w:val="28"/>
        </w:rPr>
        <w:t>–</w:t>
      </w:r>
      <w:r w:rsidRPr="00267F3A">
        <w:rPr>
          <w:rFonts w:cs="Times New Roman"/>
          <w:bCs/>
          <w:szCs w:val="28"/>
        </w:rPr>
        <w:t xml:space="preserve"> потенциал для дальнейшего улучшения качества обслуживания остаётся значительным.</w:t>
      </w:r>
    </w:p>
    <w:p w14:paraId="697BDC21" w14:textId="400DE40C" w:rsidR="00D3273B" w:rsidRDefault="00D3273B" w:rsidP="00D3273B">
      <w:pPr>
        <w:spacing w:after="0" w:line="276" w:lineRule="auto"/>
        <w:ind w:firstLine="851"/>
        <w:jc w:val="both"/>
      </w:pPr>
      <w:r w:rsidRPr="00647287">
        <w:rPr>
          <w:rFonts w:cs="Times New Roman"/>
          <w:b/>
          <w:bCs/>
          <w:szCs w:val="28"/>
        </w:rPr>
        <w:t>Источник</w:t>
      </w:r>
      <w:r w:rsidRPr="00647287">
        <w:rPr>
          <w:rFonts w:cs="Times New Roman"/>
          <w:bCs/>
          <w:szCs w:val="28"/>
        </w:rPr>
        <w:t xml:space="preserve">: </w:t>
      </w:r>
      <w:hyperlink r:id="rId13" w:history="1">
        <w:r w:rsidR="00267F3A" w:rsidRPr="00A812EA">
          <w:rPr>
            <w:rStyle w:val="ac"/>
          </w:rPr>
          <w:t>https://www.commercialriskonline.com/risk-appetite-key-to-coverage-decisions-as-market-softens-say-swiss-buyers/</w:t>
        </w:r>
      </w:hyperlink>
      <w:r w:rsidR="00267F3A">
        <w:t xml:space="preserve"> </w:t>
      </w:r>
    </w:p>
    <w:p w14:paraId="51048031" w14:textId="77777777" w:rsidR="00E2202B" w:rsidRDefault="00E2202B" w:rsidP="00D3273B">
      <w:pPr>
        <w:spacing w:after="0" w:line="276" w:lineRule="auto"/>
        <w:ind w:firstLine="851"/>
        <w:jc w:val="both"/>
      </w:pPr>
    </w:p>
    <w:p w14:paraId="3B93275B" w14:textId="73506176" w:rsidR="00E2202B" w:rsidRPr="00274296" w:rsidRDefault="00E452FD" w:rsidP="00E2202B">
      <w:pPr>
        <w:pStyle w:val="1"/>
        <w:spacing w:before="0" w:after="0" w:line="276" w:lineRule="auto"/>
        <w:ind w:firstLine="851"/>
        <w:jc w:val="both"/>
        <w:rPr>
          <w:rFonts w:ascii="Times New Roman" w:hAnsi="Times New Roman" w:cs="Times New Roman"/>
          <w:b/>
          <w:color w:val="000000" w:themeColor="text1"/>
          <w:kern w:val="0"/>
          <w:sz w:val="28"/>
          <w:szCs w:val="28"/>
          <w14:ligatures w14:val="none"/>
        </w:rPr>
      </w:pPr>
      <w:bookmarkStart w:id="5" w:name="_Toc222345225"/>
      <w:r>
        <w:rPr>
          <w:rFonts w:ascii="Times New Roman" w:hAnsi="Times New Roman" w:cs="Times New Roman"/>
          <w:b/>
          <w:color w:val="000000" w:themeColor="text1"/>
          <w:kern w:val="0"/>
          <w:sz w:val="28"/>
          <w:szCs w:val="28"/>
          <w14:ligatures w14:val="none"/>
        </w:rPr>
        <w:t>6</w:t>
      </w:r>
      <w:r w:rsidR="00E2202B" w:rsidRPr="00274296">
        <w:rPr>
          <w:rFonts w:ascii="Times New Roman" w:hAnsi="Times New Roman" w:cs="Times New Roman"/>
          <w:b/>
          <w:color w:val="000000" w:themeColor="text1"/>
          <w:kern w:val="0"/>
          <w:sz w:val="28"/>
          <w:szCs w:val="28"/>
          <w14:ligatures w14:val="none"/>
        </w:rPr>
        <w:t>.</w:t>
      </w:r>
      <w:r w:rsidR="00E2202B" w:rsidRPr="00274296">
        <w:rPr>
          <w:rFonts w:ascii="Times New Roman" w:hAnsi="Times New Roman" w:cs="Times New Roman"/>
          <w:b/>
          <w:color w:val="000000" w:themeColor="text1"/>
          <w:kern w:val="0"/>
          <w:sz w:val="28"/>
          <w:szCs w:val="28"/>
          <w14:ligatures w14:val="none"/>
        </w:rPr>
        <w:tab/>
      </w:r>
      <w:r w:rsidR="00E2202B" w:rsidRPr="00E2202B">
        <w:rPr>
          <w:rFonts w:ascii="Times New Roman" w:hAnsi="Times New Roman" w:cs="Times New Roman"/>
          <w:b/>
          <w:color w:val="000000" w:themeColor="text1"/>
          <w:kern w:val="0"/>
          <w:sz w:val="28"/>
          <w:szCs w:val="28"/>
          <w14:ligatures w14:val="none"/>
        </w:rPr>
        <w:t>Лондонский страховой рынок призывает регулятора ускорить проведение страховых реформ</w:t>
      </w:r>
      <w:bookmarkEnd w:id="5"/>
    </w:p>
    <w:p w14:paraId="63E2A567" w14:textId="77777777" w:rsidR="00E2202B" w:rsidRPr="00E2202B" w:rsidRDefault="00E2202B" w:rsidP="00E2202B">
      <w:pPr>
        <w:spacing w:after="0" w:line="276" w:lineRule="auto"/>
        <w:ind w:firstLine="851"/>
        <w:jc w:val="both"/>
        <w:rPr>
          <w:rFonts w:cs="Times New Roman"/>
          <w:bCs/>
          <w:szCs w:val="28"/>
        </w:rPr>
      </w:pPr>
      <w:r w:rsidRPr="00E2202B">
        <w:rPr>
          <w:rFonts w:cs="Times New Roman"/>
          <w:bCs/>
          <w:szCs w:val="28"/>
        </w:rPr>
        <w:t>В статье рассматривается реакция лондонского страхового рынка на действия британского регулятора в сфере реформирования страхового регулирования. Поводом стало опубликованное Управлением по финансовому надзору (</w:t>
      </w:r>
      <w:proofErr w:type="spellStart"/>
      <w:r w:rsidRPr="00E2202B">
        <w:rPr>
          <w:rFonts w:cs="Times New Roman"/>
          <w:bCs/>
          <w:szCs w:val="28"/>
        </w:rPr>
        <w:t>Financial</w:t>
      </w:r>
      <w:proofErr w:type="spellEnd"/>
      <w:r w:rsidRPr="00E2202B">
        <w:rPr>
          <w:rFonts w:cs="Times New Roman"/>
          <w:bCs/>
          <w:szCs w:val="28"/>
        </w:rPr>
        <w:t xml:space="preserve"> </w:t>
      </w:r>
      <w:proofErr w:type="spellStart"/>
      <w:r w:rsidRPr="00E2202B">
        <w:rPr>
          <w:rFonts w:cs="Times New Roman"/>
          <w:bCs/>
          <w:szCs w:val="28"/>
        </w:rPr>
        <w:t>Conduct</w:t>
      </w:r>
      <w:proofErr w:type="spellEnd"/>
      <w:r w:rsidRPr="00E2202B">
        <w:rPr>
          <w:rFonts w:cs="Times New Roman"/>
          <w:bCs/>
          <w:szCs w:val="28"/>
        </w:rPr>
        <w:t xml:space="preserve"> </w:t>
      </w:r>
      <w:proofErr w:type="spellStart"/>
      <w:r w:rsidRPr="00E2202B">
        <w:rPr>
          <w:rFonts w:cs="Times New Roman"/>
          <w:bCs/>
          <w:szCs w:val="28"/>
        </w:rPr>
        <w:t>Authority</w:t>
      </w:r>
      <w:proofErr w:type="spellEnd"/>
      <w:r w:rsidRPr="00E2202B">
        <w:rPr>
          <w:rFonts w:cs="Times New Roman"/>
          <w:bCs/>
          <w:szCs w:val="28"/>
        </w:rPr>
        <w:t>, FCA) программное заявление, направленное на упрощение действующих правил страхового рынка. Несмотря на заявленные цели модернизации, представители отрасли выразили недовольство темпами и масштабом предлагаемых изменений.</w:t>
      </w:r>
    </w:p>
    <w:p w14:paraId="05C38773" w14:textId="030F6461" w:rsidR="00E2202B" w:rsidRPr="00E2202B" w:rsidRDefault="00E2202B" w:rsidP="00E2202B">
      <w:pPr>
        <w:spacing w:after="0" w:line="276" w:lineRule="auto"/>
        <w:ind w:firstLine="851"/>
        <w:jc w:val="both"/>
        <w:rPr>
          <w:rFonts w:cs="Times New Roman"/>
          <w:bCs/>
          <w:szCs w:val="28"/>
        </w:rPr>
      </w:pPr>
      <w:r w:rsidRPr="00E2202B">
        <w:rPr>
          <w:rFonts w:cs="Times New Roman"/>
          <w:bCs/>
          <w:szCs w:val="28"/>
        </w:rPr>
        <w:t>Ключевым предметом критики стало отсутствие чёткого определения категории розничных клиентов (</w:t>
      </w:r>
      <w:proofErr w:type="spellStart"/>
      <w:r w:rsidRPr="00E2202B">
        <w:rPr>
          <w:rFonts w:cs="Times New Roman"/>
          <w:bCs/>
          <w:szCs w:val="28"/>
        </w:rPr>
        <w:t>retail</w:t>
      </w:r>
      <w:proofErr w:type="spellEnd"/>
      <w:r w:rsidRPr="00E2202B">
        <w:rPr>
          <w:rFonts w:cs="Times New Roman"/>
          <w:bCs/>
          <w:szCs w:val="28"/>
        </w:rPr>
        <w:t xml:space="preserve"> </w:t>
      </w:r>
      <w:proofErr w:type="spellStart"/>
      <w:r w:rsidRPr="00E2202B">
        <w:rPr>
          <w:rFonts w:cs="Times New Roman"/>
          <w:bCs/>
          <w:szCs w:val="28"/>
        </w:rPr>
        <w:t>customers</w:t>
      </w:r>
      <w:proofErr w:type="spellEnd"/>
      <w:r w:rsidRPr="00E2202B">
        <w:rPr>
          <w:rFonts w:cs="Times New Roman"/>
          <w:bCs/>
          <w:szCs w:val="28"/>
        </w:rPr>
        <w:t>). Регулятор отказался закреплять такое определение на текущем этапе, указав, что вопрос будет рассмотрен позднее в рамках пересмотра правил по защите потребителей (</w:t>
      </w:r>
      <w:proofErr w:type="spellStart"/>
      <w:r w:rsidRPr="00E2202B">
        <w:rPr>
          <w:rFonts w:cs="Times New Roman"/>
          <w:bCs/>
          <w:szCs w:val="28"/>
        </w:rPr>
        <w:t>Consumer</w:t>
      </w:r>
      <w:proofErr w:type="spellEnd"/>
      <w:r w:rsidRPr="00E2202B">
        <w:rPr>
          <w:rFonts w:cs="Times New Roman"/>
          <w:bCs/>
          <w:szCs w:val="28"/>
        </w:rPr>
        <w:t xml:space="preserve"> </w:t>
      </w:r>
      <w:proofErr w:type="spellStart"/>
      <w:r w:rsidRPr="00E2202B">
        <w:rPr>
          <w:rFonts w:cs="Times New Roman"/>
          <w:bCs/>
          <w:szCs w:val="28"/>
        </w:rPr>
        <w:t>Duty</w:t>
      </w:r>
      <w:proofErr w:type="spellEnd"/>
      <w:r>
        <w:rPr>
          <w:rFonts w:cs="Times New Roman"/>
          <w:bCs/>
          <w:szCs w:val="28"/>
        </w:rPr>
        <w:t>)</w:t>
      </w:r>
      <w:r w:rsidRPr="00E2202B">
        <w:rPr>
          <w:rFonts w:cs="Times New Roman"/>
          <w:bCs/>
          <w:szCs w:val="28"/>
        </w:rPr>
        <w:t>. По мнению участников рынка, ясность в данном вопросе необходима для более пропорционального регулирования и поддержания международной конкурентоспособности Великобритании. Отмечается, что отрасль добивается решения этой проблемы уже около трёх лет.</w:t>
      </w:r>
    </w:p>
    <w:p w14:paraId="0201F162" w14:textId="28C4F5B3" w:rsidR="00E2202B" w:rsidRPr="00E2202B" w:rsidRDefault="00E2202B" w:rsidP="00E2202B">
      <w:pPr>
        <w:spacing w:after="0" w:line="276" w:lineRule="auto"/>
        <w:ind w:firstLine="851"/>
        <w:jc w:val="both"/>
        <w:rPr>
          <w:rFonts w:cs="Times New Roman"/>
          <w:bCs/>
          <w:szCs w:val="28"/>
        </w:rPr>
      </w:pPr>
      <w:r w:rsidRPr="00E2202B">
        <w:rPr>
          <w:rFonts w:cs="Times New Roman"/>
          <w:bCs/>
          <w:szCs w:val="28"/>
        </w:rPr>
        <w:t xml:space="preserve">Вторым важным аспектом стала отсрочка решения о том, распространяются ли требования британского регулятора на операции с клиентами вне Великобритании. Рассмотрение данного вопроса перенесено на следующий год, что также вызвало критику со стороны профессиональных объединений. Представители рынка подчёркивают, что ускорение реформ </w:t>
      </w:r>
      <w:r w:rsidRPr="00E2202B">
        <w:rPr>
          <w:rFonts w:cs="Times New Roman"/>
          <w:bCs/>
          <w:szCs w:val="28"/>
        </w:rPr>
        <w:lastRenderedPageBreak/>
        <w:t>необходимо для достижения целей экономического роста и повышения эффективности регулирования.</w:t>
      </w:r>
    </w:p>
    <w:p w14:paraId="54DD6FD0" w14:textId="77777777" w:rsidR="00E2202B" w:rsidRPr="00E2202B" w:rsidRDefault="00E2202B" w:rsidP="00E2202B">
      <w:pPr>
        <w:spacing w:after="0" w:line="276" w:lineRule="auto"/>
        <w:ind w:firstLine="851"/>
        <w:jc w:val="both"/>
        <w:rPr>
          <w:rFonts w:cs="Times New Roman"/>
          <w:bCs/>
          <w:szCs w:val="28"/>
        </w:rPr>
      </w:pPr>
      <w:r w:rsidRPr="00E2202B">
        <w:rPr>
          <w:rFonts w:cs="Times New Roman"/>
          <w:bCs/>
          <w:szCs w:val="28"/>
        </w:rPr>
        <w:t>Эксперты страхового сектора отмечают, что разграничение между розничными и коммерческими клиентами позволило бы регулятору применять иной подход к компаниям, не работающим с розничными потребителями. Однако конкретные параметры такого подхода пока остаются неопределёнными, что затрудняет оценку влияния реформ на международную конкурентоспособность лондонского страхового рынка.</w:t>
      </w:r>
    </w:p>
    <w:p w14:paraId="7050FCF8" w14:textId="7B4FE8F6" w:rsidR="00E2202B" w:rsidRPr="00E2202B" w:rsidRDefault="00825734" w:rsidP="00E2202B">
      <w:pPr>
        <w:spacing w:after="0" w:line="276" w:lineRule="auto"/>
        <w:ind w:firstLine="851"/>
        <w:jc w:val="both"/>
        <w:rPr>
          <w:rFonts w:cs="Times New Roman"/>
          <w:bCs/>
          <w:szCs w:val="28"/>
        </w:rPr>
      </w:pPr>
      <w:r w:rsidRPr="00825734">
        <w:rPr>
          <w:rFonts w:cs="Times New Roman"/>
          <w:bCs/>
          <w:szCs w:val="28"/>
        </w:rPr>
        <w:t>В ответ FCA заявило, что учитывает предложения по дальнейшему упрощению регулирования, однако вводить определение розничного клиента пока не планирует и вернётся к этому вопросу при пересмотре правил защиты потребителей (</w:t>
      </w:r>
      <w:proofErr w:type="spellStart"/>
      <w:r w:rsidRPr="00825734">
        <w:rPr>
          <w:rFonts w:cs="Times New Roman"/>
          <w:bCs/>
          <w:szCs w:val="28"/>
        </w:rPr>
        <w:t>Consumer</w:t>
      </w:r>
      <w:proofErr w:type="spellEnd"/>
      <w:r w:rsidRPr="00825734">
        <w:rPr>
          <w:rFonts w:cs="Times New Roman"/>
          <w:bCs/>
          <w:szCs w:val="28"/>
        </w:rPr>
        <w:t xml:space="preserve"> </w:t>
      </w:r>
      <w:proofErr w:type="spellStart"/>
      <w:r w:rsidRPr="00825734">
        <w:rPr>
          <w:rFonts w:cs="Times New Roman"/>
          <w:bCs/>
          <w:szCs w:val="28"/>
        </w:rPr>
        <w:t>Duty</w:t>
      </w:r>
      <w:proofErr w:type="spellEnd"/>
      <w:r w:rsidRPr="00825734">
        <w:rPr>
          <w:rFonts w:cs="Times New Roman"/>
          <w:bCs/>
          <w:szCs w:val="28"/>
        </w:rPr>
        <w:t>) и основных терминов нормативного руководства.</w:t>
      </w:r>
      <w:r>
        <w:rPr>
          <w:rFonts w:cs="Times New Roman"/>
          <w:bCs/>
          <w:szCs w:val="28"/>
        </w:rPr>
        <w:t xml:space="preserve"> </w:t>
      </w:r>
      <w:r w:rsidR="00E2202B" w:rsidRPr="00E2202B">
        <w:rPr>
          <w:rFonts w:cs="Times New Roman"/>
          <w:bCs/>
          <w:szCs w:val="28"/>
        </w:rPr>
        <w:t>Более подробные предложения, как ожидается, будут представлены в течение 2026 года.</w:t>
      </w:r>
    </w:p>
    <w:p w14:paraId="7D33E2ED" w14:textId="77777777" w:rsidR="00E2202B" w:rsidRDefault="00E2202B" w:rsidP="00E2202B">
      <w:pPr>
        <w:spacing w:after="0" w:line="276" w:lineRule="auto"/>
        <w:ind w:firstLine="851"/>
        <w:jc w:val="both"/>
        <w:rPr>
          <w:rFonts w:cs="Times New Roman"/>
          <w:bCs/>
          <w:szCs w:val="28"/>
        </w:rPr>
      </w:pPr>
      <w:r w:rsidRPr="00E2202B">
        <w:rPr>
          <w:rFonts w:cs="Times New Roman"/>
          <w:bCs/>
          <w:szCs w:val="28"/>
        </w:rPr>
        <w:t>Таким образом, статья отражает напряжённость между страховым рынком и регулятором, связанную с темпами и направлением реформ, а также подчёркивает значение ясности регулирования для поддержания международной конкурентоспособности лондонского страхового рынка.</w:t>
      </w:r>
    </w:p>
    <w:p w14:paraId="52F66232" w14:textId="1627B903" w:rsidR="00E2202B" w:rsidRDefault="00E2202B" w:rsidP="00E2202B">
      <w:pPr>
        <w:spacing w:after="0" w:line="276" w:lineRule="auto"/>
        <w:ind w:firstLine="851"/>
        <w:jc w:val="both"/>
      </w:pPr>
      <w:r w:rsidRPr="00647287">
        <w:rPr>
          <w:rFonts w:cs="Times New Roman"/>
          <w:b/>
          <w:bCs/>
          <w:szCs w:val="28"/>
        </w:rPr>
        <w:t>Источник</w:t>
      </w:r>
      <w:r w:rsidRPr="00647287">
        <w:rPr>
          <w:rFonts w:cs="Times New Roman"/>
          <w:bCs/>
          <w:szCs w:val="28"/>
        </w:rPr>
        <w:t xml:space="preserve">: </w:t>
      </w:r>
      <w:hyperlink r:id="rId14" w:history="1">
        <w:r w:rsidR="00825734" w:rsidRPr="00994DB8">
          <w:rPr>
            <w:rStyle w:val="ac"/>
          </w:rPr>
          <w:t>https://www.commercialriskonline.com/london-market-calls-on-regulator-to-move-faster-on-insurance-reforms/</w:t>
        </w:r>
      </w:hyperlink>
      <w:r w:rsidR="00825734">
        <w:t xml:space="preserve"> </w:t>
      </w:r>
    </w:p>
    <w:p w14:paraId="1616E859" w14:textId="77777777" w:rsidR="00825734" w:rsidRDefault="00825734" w:rsidP="00E2202B">
      <w:pPr>
        <w:spacing w:after="0" w:line="276" w:lineRule="auto"/>
        <w:ind w:firstLine="851"/>
        <w:jc w:val="both"/>
      </w:pPr>
    </w:p>
    <w:p w14:paraId="44715726" w14:textId="427B30A3" w:rsidR="00825734" w:rsidRDefault="00E452FD" w:rsidP="00825734">
      <w:pPr>
        <w:pStyle w:val="1"/>
        <w:spacing w:before="0" w:after="0" w:line="276" w:lineRule="auto"/>
        <w:ind w:firstLine="851"/>
        <w:jc w:val="both"/>
        <w:rPr>
          <w:rFonts w:ascii="Times New Roman" w:hAnsi="Times New Roman" w:cs="Times New Roman"/>
          <w:b/>
          <w:color w:val="000000" w:themeColor="text1"/>
          <w:kern w:val="0"/>
          <w:sz w:val="28"/>
          <w:szCs w:val="28"/>
          <w14:ligatures w14:val="none"/>
        </w:rPr>
      </w:pPr>
      <w:bookmarkStart w:id="6" w:name="_Toc222345226"/>
      <w:r>
        <w:rPr>
          <w:rFonts w:ascii="Times New Roman" w:hAnsi="Times New Roman" w:cs="Times New Roman"/>
          <w:b/>
          <w:color w:val="000000" w:themeColor="text1"/>
          <w:kern w:val="0"/>
          <w:sz w:val="28"/>
          <w:szCs w:val="28"/>
          <w14:ligatures w14:val="none"/>
        </w:rPr>
        <w:t>7</w:t>
      </w:r>
      <w:r w:rsidR="00825734" w:rsidRPr="00274296">
        <w:rPr>
          <w:rFonts w:ascii="Times New Roman" w:hAnsi="Times New Roman" w:cs="Times New Roman"/>
          <w:b/>
          <w:color w:val="000000" w:themeColor="text1"/>
          <w:kern w:val="0"/>
          <w:sz w:val="28"/>
          <w:szCs w:val="28"/>
          <w14:ligatures w14:val="none"/>
        </w:rPr>
        <w:t>.</w:t>
      </w:r>
      <w:r w:rsidR="00825734" w:rsidRPr="00274296">
        <w:rPr>
          <w:rFonts w:ascii="Times New Roman" w:hAnsi="Times New Roman" w:cs="Times New Roman"/>
          <w:b/>
          <w:color w:val="000000" w:themeColor="text1"/>
          <w:kern w:val="0"/>
          <w:sz w:val="28"/>
          <w:szCs w:val="28"/>
          <w14:ligatures w14:val="none"/>
        </w:rPr>
        <w:tab/>
      </w:r>
      <w:r w:rsidR="00825734" w:rsidRPr="00825734">
        <w:rPr>
          <w:rFonts w:ascii="Times New Roman" w:hAnsi="Times New Roman" w:cs="Times New Roman"/>
          <w:b/>
          <w:color w:val="000000" w:themeColor="text1"/>
          <w:kern w:val="0"/>
          <w:sz w:val="28"/>
          <w:szCs w:val="28"/>
          <w14:ligatures w14:val="none"/>
        </w:rPr>
        <w:t>Европейский парламент и Совет ЕС договорились о сокращении требований Директивы по корпоративной отчётности в области устойчивого развития и Директивы о должной проверке в области устойчивого развития</w:t>
      </w:r>
      <w:bookmarkEnd w:id="6"/>
    </w:p>
    <w:p w14:paraId="5A6A9AFE" w14:textId="1161BFAF" w:rsidR="00825734" w:rsidRPr="00825734" w:rsidRDefault="00825734" w:rsidP="00825734">
      <w:pPr>
        <w:rPr>
          <w:b/>
          <w:bCs/>
        </w:rPr>
      </w:pPr>
      <w:r w:rsidRPr="00825734">
        <w:rPr>
          <w:b/>
          <w:bCs/>
        </w:rPr>
        <w:t>Меньшее число европейских компаний подпадёт под действие правил в сфере устойчивого развития</w:t>
      </w:r>
    </w:p>
    <w:p w14:paraId="483E06A9" w14:textId="7594ED30" w:rsidR="00825734" w:rsidRPr="00825734" w:rsidRDefault="00825734" w:rsidP="00825734">
      <w:pPr>
        <w:spacing w:after="0" w:line="276" w:lineRule="auto"/>
        <w:ind w:firstLine="851"/>
        <w:jc w:val="both"/>
        <w:rPr>
          <w:rFonts w:cs="Times New Roman"/>
          <w:bCs/>
          <w:szCs w:val="28"/>
        </w:rPr>
      </w:pPr>
      <w:proofErr w:type="gramStart"/>
      <w:r w:rsidRPr="00825734">
        <w:rPr>
          <w:rFonts w:cs="Times New Roman"/>
          <w:bCs/>
          <w:szCs w:val="28"/>
        </w:rPr>
        <w:t xml:space="preserve">В статье анализируется достигнутое Европейским парламентом и Советом Европейского союза предварительное (неформальное) соглашение о сокращении требований двух ключевых нормативных актов в области устойчивого развития </w:t>
      </w:r>
      <w:r w:rsidR="00B934EE">
        <w:rPr>
          <w:rFonts w:cs="Times New Roman"/>
          <w:bCs/>
          <w:szCs w:val="28"/>
        </w:rPr>
        <w:t>–</w:t>
      </w:r>
      <w:r w:rsidRPr="00825734">
        <w:rPr>
          <w:rFonts w:cs="Times New Roman"/>
          <w:bCs/>
          <w:szCs w:val="28"/>
        </w:rPr>
        <w:t xml:space="preserve"> Директивы по корпоративной отчётности в области устойчивого развития (</w:t>
      </w:r>
      <w:proofErr w:type="spellStart"/>
      <w:r w:rsidRPr="00825734">
        <w:rPr>
          <w:rFonts w:cs="Times New Roman"/>
          <w:bCs/>
          <w:szCs w:val="28"/>
        </w:rPr>
        <w:t>Corporate</w:t>
      </w:r>
      <w:proofErr w:type="spellEnd"/>
      <w:r w:rsidRPr="00825734">
        <w:rPr>
          <w:rFonts w:cs="Times New Roman"/>
          <w:bCs/>
          <w:szCs w:val="28"/>
        </w:rPr>
        <w:t xml:space="preserve"> </w:t>
      </w:r>
      <w:proofErr w:type="spellStart"/>
      <w:r w:rsidRPr="00825734">
        <w:rPr>
          <w:rFonts w:cs="Times New Roman"/>
          <w:bCs/>
          <w:szCs w:val="28"/>
        </w:rPr>
        <w:t>Sustainability</w:t>
      </w:r>
      <w:proofErr w:type="spellEnd"/>
      <w:r w:rsidRPr="00825734">
        <w:rPr>
          <w:rFonts w:cs="Times New Roman"/>
          <w:bCs/>
          <w:szCs w:val="28"/>
        </w:rPr>
        <w:t xml:space="preserve"> </w:t>
      </w:r>
      <w:proofErr w:type="spellStart"/>
      <w:r w:rsidRPr="00825734">
        <w:rPr>
          <w:rFonts w:cs="Times New Roman"/>
          <w:bCs/>
          <w:szCs w:val="28"/>
        </w:rPr>
        <w:t>Reporting</w:t>
      </w:r>
      <w:proofErr w:type="spellEnd"/>
      <w:r w:rsidRPr="00825734">
        <w:rPr>
          <w:rFonts w:cs="Times New Roman"/>
          <w:bCs/>
          <w:szCs w:val="28"/>
        </w:rPr>
        <w:t xml:space="preserve"> </w:t>
      </w:r>
      <w:proofErr w:type="spellStart"/>
      <w:r w:rsidRPr="00825734">
        <w:rPr>
          <w:rFonts w:cs="Times New Roman"/>
          <w:bCs/>
          <w:szCs w:val="28"/>
        </w:rPr>
        <w:t>Directive</w:t>
      </w:r>
      <w:proofErr w:type="spellEnd"/>
      <w:r w:rsidRPr="00825734">
        <w:rPr>
          <w:rFonts w:cs="Times New Roman"/>
          <w:bCs/>
          <w:szCs w:val="28"/>
        </w:rPr>
        <w:t>, CSRD) и Директивы о должной проверке в области устойчивого развития (</w:t>
      </w:r>
      <w:proofErr w:type="spellStart"/>
      <w:r w:rsidRPr="00825734">
        <w:rPr>
          <w:rFonts w:cs="Times New Roman"/>
          <w:bCs/>
          <w:szCs w:val="28"/>
        </w:rPr>
        <w:t>Corporate</w:t>
      </w:r>
      <w:proofErr w:type="spellEnd"/>
      <w:r w:rsidRPr="00825734">
        <w:rPr>
          <w:rFonts w:cs="Times New Roman"/>
          <w:bCs/>
          <w:szCs w:val="28"/>
        </w:rPr>
        <w:t xml:space="preserve"> </w:t>
      </w:r>
      <w:proofErr w:type="spellStart"/>
      <w:r w:rsidRPr="00825734">
        <w:rPr>
          <w:rFonts w:cs="Times New Roman"/>
          <w:bCs/>
          <w:szCs w:val="28"/>
        </w:rPr>
        <w:t>Sustainability</w:t>
      </w:r>
      <w:proofErr w:type="spellEnd"/>
      <w:r w:rsidRPr="00825734">
        <w:rPr>
          <w:rFonts w:cs="Times New Roman"/>
          <w:bCs/>
          <w:szCs w:val="28"/>
        </w:rPr>
        <w:t xml:space="preserve"> </w:t>
      </w:r>
      <w:proofErr w:type="spellStart"/>
      <w:r w:rsidRPr="00825734">
        <w:rPr>
          <w:rFonts w:cs="Times New Roman"/>
          <w:bCs/>
          <w:szCs w:val="28"/>
        </w:rPr>
        <w:t>Due</w:t>
      </w:r>
      <w:proofErr w:type="spellEnd"/>
      <w:r w:rsidRPr="00825734">
        <w:rPr>
          <w:rFonts w:cs="Times New Roman"/>
          <w:bCs/>
          <w:szCs w:val="28"/>
        </w:rPr>
        <w:t xml:space="preserve"> </w:t>
      </w:r>
      <w:proofErr w:type="spellStart"/>
      <w:r w:rsidRPr="00825734">
        <w:rPr>
          <w:rFonts w:cs="Times New Roman"/>
          <w:bCs/>
          <w:szCs w:val="28"/>
        </w:rPr>
        <w:t>Diligence</w:t>
      </w:r>
      <w:proofErr w:type="spellEnd"/>
      <w:r w:rsidRPr="00825734">
        <w:rPr>
          <w:rFonts w:cs="Times New Roman"/>
          <w:bCs/>
          <w:szCs w:val="28"/>
        </w:rPr>
        <w:t xml:space="preserve"> </w:t>
      </w:r>
      <w:proofErr w:type="spellStart"/>
      <w:r w:rsidRPr="00825734">
        <w:rPr>
          <w:rFonts w:cs="Times New Roman"/>
          <w:bCs/>
          <w:szCs w:val="28"/>
        </w:rPr>
        <w:t>Directive</w:t>
      </w:r>
      <w:proofErr w:type="spellEnd"/>
      <w:r w:rsidRPr="00825734">
        <w:rPr>
          <w:rFonts w:cs="Times New Roman"/>
          <w:bCs/>
          <w:szCs w:val="28"/>
        </w:rPr>
        <w:t>, CSDDD).</w:t>
      </w:r>
      <w:proofErr w:type="gramEnd"/>
      <w:r w:rsidRPr="00825734">
        <w:rPr>
          <w:rFonts w:cs="Times New Roman"/>
          <w:bCs/>
          <w:szCs w:val="28"/>
        </w:rPr>
        <w:t xml:space="preserve"> Основной целью изменений является снижение регуляторной нагрузки на бизнес и сокращение круга компаний, подпадающих под действие данных правил.</w:t>
      </w:r>
    </w:p>
    <w:p w14:paraId="1F21E5B7" w14:textId="77777777" w:rsidR="00825734" w:rsidRPr="00825734" w:rsidRDefault="00825734" w:rsidP="00825734">
      <w:pPr>
        <w:spacing w:after="0" w:line="276" w:lineRule="auto"/>
        <w:ind w:firstLine="851"/>
        <w:jc w:val="both"/>
        <w:rPr>
          <w:rFonts w:cs="Times New Roman"/>
          <w:bCs/>
          <w:szCs w:val="28"/>
        </w:rPr>
      </w:pPr>
      <w:r w:rsidRPr="00825734">
        <w:rPr>
          <w:rFonts w:cs="Times New Roman"/>
          <w:bCs/>
          <w:szCs w:val="28"/>
        </w:rPr>
        <w:t xml:space="preserve">Согласно достигнутым договорённостям, требования CSRD будут распространяться только на европейские компании с численностью </w:t>
      </w:r>
      <w:r w:rsidRPr="00825734">
        <w:rPr>
          <w:rFonts w:cs="Times New Roman"/>
          <w:bCs/>
          <w:szCs w:val="28"/>
        </w:rPr>
        <w:lastRenderedPageBreak/>
        <w:t xml:space="preserve">персонала более 1 000 человек и годовым оборотом свыше 450 </w:t>
      </w:r>
      <w:proofErr w:type="gramStart"/>
      <w:r w:rsidRPr="00825734">
        <w:rPr>
          <w:rFonts w:cs="Times New Roman"/>
          <w:bCs/>
          <w:szCs w:val="28"/>
        </w:rPr>
        <w:t>млн</w:t>
      </w:r>
      <w:proofErr w:type="gramEnd"/>
      <w:r w:rsidRPr="00825734">
        <w:rPr>
          <w:rFonts w:cs="Times New Roman"/>
          <w:bCs/>
          <w:szCs w:val="28"/>
        </w:rPr>
        <w:t xml:space="preserve"> евро. Для компаний из третьих стран порог оборота, полученного на территории ЕС, также повышен до 450 </w:t>
      </w:r>
      <w:proofErr w:type="gramStart"/>
      <w:r w:rsidRPr="00825734">
        <w:rPr>
          <w:rFonts w:cs="Times New Roman"/>
          <w:bCs/>
          <w:szCs w:val="28"/>
        </w:rPr>
        <w:t>млн</w:t>
      </w:r>
      <w:proofErr w:type="gramEnd"/>
      <w:r w:rsidRPr="00825734">
        <w:rPr>
          <w:rFonts w:cs="Times New Roman"/>
          <w:bCs/>
          <w:szCs w:val="28"/>
        </w:rPr>
        <w:t xml:space="preserve"> евро. Финансовые холдинговые компании освобождаются от действия директивы, а организации, ранее обязанные начать отчётность с 2024 года, но не подпадающие под обновлённые критерии, смогут прекратить её представление в 2025–2026 годах.</w:t>
      </w:r>
    </w:p>
    <w:p w14:paraId="4012586B" w14:textId="77777777" w:rsidR="00825734" w:rsidRPr="00825734" w:rsidRDefault="00825734" w:rsidP="00825734">
      <w:pPr>
        <w:spacing w:after="0" w:line="276" w:lineRule="auto"/>
        <w:ind w:firstLine="851"/>
        <w:jc w:val="both"/>
        <w:rPr>
          <w:rFonts w:cs="Times New Roman"/>
          <w:bCs/>
          <w:szCs w:val="28"/>
        </w:rPr>
      </w:pPr>
      <w:r w:rsidRPr="00825734">
        <w:rPr>
          <w:rFonts w:cs="Times New Roman"/>
          <w:bCs/>
          <w:szCs w:val="28"/>
        </w:rPr>
        <w:t xml:space="preserve">Что касается CSDDD, новые правила будут применяться только к крупнейшим корпорациям с численностью сотрудников более 5 000 человек и оборотом свыше 1,5 </w:t>
      </w:r>
      <w:proofErr w:type="gramStart"/>
      <w:r w:rsidRPr="00825734">
        <w:rPr>
          <w:rFonts w:cs="Times New Roman"/>
          <w:bCs/>
          <w:szCs w:val="28"/>
        </w:rPr>
        <w:t>млрд</w:t>
      </w:r>
      <w:proofErr w:type="gramEnd"/>
      <w:r w:rsidRPr="00825734">
        <w:rPr>
          <w:rFonts w:cs="Times New Roman"/>
          <w:bCs/>
          <w:szCs w:val="28"/>
        </w:rPr>
        <w:t xml:space="preserve"> евро. Эти компании обязаны проводить проверку своей деятельности на предмет нарушений прав человека и экологического вреда. Аналогичные требования распространяются и на иностранные компании, если соответствующий оборот формируется в пределах ЕС. Кроме того, срок имплементации директивы перенесён на июль 2029 года, что предоставляет бизнесу дополнительное время для подготовки.</w:t>
      </w:r>
    </w:p>
    <w:p w14:paraId="3E43D8CB" w14:textId="77777777" w:rsidR="00825734" w:rsidRPr="00825734" w:rsidRDefault="00825734" w:rsidP="00825734">
      <w:pPr>
        <w:spacing w:after="0" w:line="276" w:lineRule="auto"/>
        <w:ind w:firstLine="851"/>
        <w:jc w:val="both"/>
        <w:rPr>
          <w:rFonts w:cs="Times New Roman"/>
          <w:bCs/>
          <w:szCs w:val="28"/>
        </w:rPr>
      </w:pPr>
      <w:r w:rsidRPr="00825734">
        <w:rPr>
          <w:rFonts w:cs="Times New Roman"/>
          <w:bCs/>
          <w:szCs w:val="28"/>
        </w:rPr>
        <w:t>Соглашение также предусматривает сокращение самих требований к отчётности и подчёркивает необходимость защиты малых и средних предприятий от косвенного распространения требований на их деятельность. Компании, подпадающие под действие CSDDD, больше не обязаны разрабатывать переходный план, соответствующий целям Парижского соглашения по климату. Ответственность за несоблюдение требований будет устанавливаться на национальном уровне, а максимальный размер штрафа ограничен 3% глобального чистого оборота компании.</w:t>
      </w:r>
    </w:p>
    <w:p w14:paraId="04AB59A3" w14:textId="77777777" w:rsidR="00825734" w:rsidRPr="00825734" w:rsidRDefault="00825734" w:rsidP="00825734">
      <w:pPr>
        <w:spacing w:after="0" w:line="276" w:lineRule="auto"/>
        <w:ind w:firstLine="851"/>
        <w:jc w:val="both"/>
        <w:rPr>
          <w:rFonts w:cs="Times New Roman"/>
          <w:bCs/>
          <w:szCs w:val="28"/>
        </w:rPr>
      </w:pPr>
      <w:r w:rsidRPr="00825734">
        <w:rPr>
          <w:rFonts w:cs="Times New Roman"/>
          <w:bCs/>
          <w:szCs w:val="28"/>
        </w:rPr>
        <w:t>Дополнительно компаниям предоставляется возможность сосредоточиться на наиболее значимых рисках устойчивого развития в рамках всей цепочки поставок, а не только на собственной деятельности, дочерних структурах и непосредственных партнёрах, как предполагалось ранее. По мнению представителей европейских институтов, достигнутый компромисс упростит соблюдение требований, снизит издержки бизнеса и создаст более благоприятные условия для экономического роста и инноваций.</w:t>
      </w:r>
    </w:p>
    <w:p w14:paraId="58F3ED41" w14:textId="77777777" w:rsidR="00825734" w:rsidRDefault="00825734" w:rsidP="00825734">
      <w:pPr>
        <w:spacing w:after="0" w:line="276" w:lineRule="auto"/>
        <w:ind w:firstLine="851"/>
        <w:jc w:val="both"/>
        <w:rPr>
          <w:rFonts w:cs="Times New Roman"/>
          <w:bCs/>
          <w:szCs w:val="28"/>
        </w:rPr>
      </w:pPr>
      <w:r w:rsidRPr="00825734">
        <w:rPr>
          <w:rFonts w:cs="Times New Roman"/>
          <w:bCs/>
          <w:szCs w:val="28"/>
        </w:rPr>
        <w:t>Соглашение должно быть рассмотрено Комитетом по правовым вопросам Европейского парламента, затем вынесено на голосование, а также формально одобрено Советом ЕС, после чего сможет вступить в силу.</w:t>
      </w:r>
    </w:p>
    <w:p w14:paraId="25263964" w14:textId="3FA9321A" w:rsidR="00825734" w:rsidRDefault="00825734" w:rsidP="00825734">
      <w:pPr>
        <w:spacing w:after="0" w:line="276" w:lineRule="auto"/>
        <w:ind w:firstLine="851"/>
        <w:jc w:val="both"/>
      </w:pPr>
      <w:r w:rsidRPr="00647287">
        <w:rPr>
          <w:rFonts w:cs="Times New Roman"/>
          <w:b/>
          <w:bCs/>
          <w:szCs w:val="28"/>
        </w:rPr>
        <w:t>Источник</w:t>
      </w:r>
      <w:r w:rsidRPr="00647287">
        <w:rPr>
          <w:rFonts w:cs="Times New Roman"/>
          <w:bCs/>
          <w:szCs w:val="28"/>
        </w:rPr>
        <w:t xml:space="preserve">: </w:t>
      </w:r>
      <w:hyperlink r:id="rId15" w:history="1">
        <w:r w:rsidRPr="00994DB8">
          <w:rPr>
            <w:rStyle w:val="ac"/>
          </w:rPr>
          <w:t>https://www.commercialriskonline.com/european-parliament-and-council-agree-on-csrd-and-csddd-cuts/</w:t>
        </w:r>
      </w:hyperlink>
      <w:r>
        <w:t xml:space="preserve"> </w:t>
      </w:r>
    </w:p>
    <w:p w14:paraId="2E153784" w14:textId="77777777" w:rsidR="00825734" w:rsidRPr="00647287" w:rsidRDefault="00825734" w:rsidP="00E2202B">
      <w:pPr>
        <w:spacing w:after="0" w:line="276" w:lineRule="auto"/>
        <w:ind w:firstLine="851"/>
        <w:jc w:val="both"/>
        <w:rPr>
          <w:rFonts w:cs="Times New Roman"/>
          <w:bCs/>
          <w:szCs w:val="28"/>
        </w:rPr>
      </w:pPr>
    </w:p>
    <w:p w14:paraId="7E646016" w14:textId="27FB668E" w:rsidR="00CB69F2" w:rsidRDefault="00CB69F2" w:rsidP="00CB69F2">
      <w:pPr>
        <w:pStyle w:val="1"/>
        <w:spacing w:before="0" w:after="0" w:line="276" w:lineRule="auto"/>
        <w:ind w:firstLine="851"/>
        <w:jc w:val="both"/>
        <w:rPr>
          <w:rFonts w:ascii="Times New Roman" w:hAnsi="Times New Roman" w:cs="Times New Roman"/>
          <w:b/>
          <w:color w:val="000000" w:themeColor="text1"/>
          <w:kern w:val="0"/>
          <w:sz w:val="28"/>
          <w:szCs w:val="28"/>
          <w14:ligatures w14:val="none"/>
        </w:rPr>
      </w:pPr>
      <w:bookmarkStart w:id="7" w:name="_Toc222345227"/>
      <w:r>
        <w:rPr>
          <w:rFonts w:ascii="Times New Roman" w:hAnsi="Times New Roman" w:cs="Times New Roman"/>
          <w:b/>
          <w:color w:val="000000" w:themeColor="text1"/>
          <w:kern w:val="0"/>
          <w:sz w:val="28"/>
          <w:szCs w:val="28"/>
          <w14:ligatures w14:val="none"/>
        </w:rPr>
        <w:lastRenderedPageBreak/>
        <w:t>8</w:t>
      </w:r>
      <w:r w:rsidRPr="00274296">
        <w:rPr>
          <w:rFonts w:ascii="Times New Roman" w:hAnsi="Times New Roman" w:cs="Times New Roman"/>
          <w:b/>
          <w:color w:val="000000" w:themeColor="text1"/>
          <w:kern w:val="0"/>
          <w:sz w:val="28"/>
          <w:szCs w:val="28"/>
          <w14:ligatures w14:val="none"/>
        </w:rPr>
        <w:t>.</w:t>
      </w:r>
      <w:r w:rsidRPr="00274296">
        <w:rPr>
          <w:rFonts w:ascii="Times New Roman" w:hAnsi="Times New Roman" w:cs="Times New Roman"/>
          <w:b/>
          <w:color w:val="000000" w:themeColor="text1"/>
          <w:kern w:val="0"/>
          <w:sz w:val="28"/>
          <w:szCs w:val="28"/>
          <w14:ligatures w14:val="none"/>
        </w:rPr>
        <w:tab/>
      </w:r>
      <w:r w:rsidRPr="00CB69F2">
        <w:rPr>
          <w:rFonts w:ascii="Times New Roman" w:hAnsi="Times New Roman" w:cs="Times New Roman"/>
          <w:b/>
          <w:color w:val="000000" w:themeColor="text1"/>
          <w:kern w:val="0"/>
          <w:sz w:val="28"/>
          <w:szCs w:val="28"/>
          <w14:ligatures w14:val="none"/>
        </w:rPr>
        <w:t>Страховщики стремятся исключить покрытие ответственности за искусственный интеллект</w:t>
      </w:r>
      <w:bookmarkEnd w:id="7"/>
    </w:p>
    <w:p w14:paraId="07F3CB73" w14:textId="52240458" w:rsidR="00CB69F2" w:rsidRPr="00CB69F2" w:rsidRDefault="00CB69F2" w:rsidP="00CB69F2">
      <w:pPr>
        <w:spacing w:after="0" w:line="276" w:lineRule="auto"/>
        <w:ind w:firstLine="851"/>
        <w:jc w:val="both"/>
        <w:rPr>
          <w:rFonts w:cs="Times New Roman"/>
          <w:bCs/>
          <w:szCs w:val="28"/>
        </w:rPr>
      </w:pPr>
      <w:r w:rsidRPr="00CB69F2">
        <w:rPr>
          <w:rFonts w:cs="Times New Roman"/>
          <w:bCs/>
          <w:szCs w:val="28"/>
        </w:rPr>
        <w:t>В статье рассматривается тенденция среди ведущих страховых компаний США по исключению рисков, связанных с искусственным интеллектом, из корпоративных полисов ответственности (</w:t>
      </w:r>
      <w:proofErr w:type="spellStart"/>
      <w:r w:rsidRPr="00CB69F2">
        <w:rPr>
          <w:rFonts w:cs="Times New Roman"/>
          <w:bCs/>
          <w:szCs w:val="28"/>
        </w:rPr>
        <w:t>corporate</w:t>
      </w:r>
      <w:proofErr w:type="spellEnd"/>
      <w:r w:rsidRPr="00CB69F2">
        <w:rPr>
          <w:rFonts w:cs="Times New Roman"/>
          <w:bCs/>
          <w:szCs w:val="28"/>
        </w:rPr>
        <w:t xml:space="preserve"> </w:t>
      </w:r>
      <w:proofErr w:type="spellStart"/>
      <w:r w:rsidRPr="00CB69F2">
        <w:rPr>
          <w:rFonts w:cs="Times New Roman"/>
          <w:bCs/>
          <w:szCs w:val="28"/>
        </w:rPr>
        <w:t>liability</w:t>
      </w:r>
      <w:proofErr w:type="spellEnd"/>
      <w:r w:rsidRPr="00CB69F2">
        <w:rPr>
          <w:rFonts w:cs="Times New Roman"/>
          <w:bCs/>
          <w:szCs w:val="28"/>
        </w:rPr>
        <w:t xml:space="preserve"> </w:t>
      </w:r>
      <w:proofErr w:type="spellStart"/>
      <w:r w:rsidRPr="00CB69F2">
        <w:rPr>
          <w:rFonts w:cs="Times New Roman"/>
          <w:bCs/>
          <w:szCs w:val="28"/>
        </w:rPr>
        <w:t>policies</w:t>
      </w:r>
      <w:proofErr w:type="spellEnd"/>
      <w:r w:rsidRPr="00CB69F2">
        <w:rPr>
          <w:rFonts w:cs="Times New Roman"/>
          <w:bCs/>
          <w:szCs w:val="28"/>
        </w:rPr>
        <w:t>). Автор подчеркивает, что такое решение продиктовано ростом претензий и опасениями системных убытков.</w:t>
      </w:r>
    </w:p>
    <w:p w14:paraId="148C1E61" w14:textId="77777777" w:rsidR="00CB69F2" w:rsidRPr="00CB69F2" w:rsidRDefault="00CB69F2" w:rsidP="00CB69F2">
      <w:pPr>
        <w:spacing w:after="0" w:line="276" w:lineRule="auto"/>
        <w:ind w:firstLine="851"/>
        <w:jc w:val="both"/>
        <w:rPr>
          <w:rFonts w:cs="Times New Roman"/>
          <w:bCs/>
          <w:szCs w:val="28"/>
        </w:rPr>
      </w:pPr>
      <w:r w:rsidRPr="00CB69F2">
        <w:rPr>
          <w:rFonts w:cs="Times New Roman"/>
          <w:bCs/>
          <w:szCs w:val="28"/>
        </w:rPr>
        <w:t xml:space="preserve">В статье говорится о том, что страховые компании, включая AIG, </w:t>
      </w:r>
      <w:proofErr w:type="spellStart"/>
      <w:r w:rsidRPr="00CB69F2">
        <w:rPr>
          <w:rFonts w:cs="Times New Roman"/>
          <w:bCs/>
          <w:szCs w:val="28"/>
        </w:rPr>
        <w:t>Great</w:t>
      </w:r>
      <w:proofErr w:type="spellEnd"/>
      <w:r w:rsidRPr="00CB69F2">
        <w:rPr>
          <w:rFonts w:cs="Times New Roman"/>
          <w:bCs/>
          <w:szCs w:val="28"/>
        </w:rPr>
        <w:t xml:space="preserve"> </w:t>
      </w:r>
      <w:proofErr w:type="spellStart"/>
      <w:r w:rsidRPr="00CB69F2">
        <w:rPr>
          <w:rFonts w:cs="Times New Roman"/>
          <w:bCs/>
          <w:szCs w:val="28"/>
        </w:rPr>
        <w:t>American</w:t>
      </w:r>
      <w:proofErr w:type="spellEnd"/>
      <w:r w:rsidRPr="00CB69F2">
        <w:rPr>
          <w:rFonts w:cs="Times New Roman"/>
          <w:bCs/>
          <w:szCs w:val="28"/>
        </w:rPr>
        <w:t xml:space="preserve"> и WR </w:t>
      </w:r>
      <w:proofErr w:type="spellStart"/>
      <w:r w:rsidRPr="00CB69F2">
        <w:rPr>
          <w:rFonts w:cs="Times New Roman"/>
          <w:bCs/>
          <w:szCs w:val="28"/>
        </w:rPr>
        <w:t>Berkley</w:t>
      </w:r>
      <w:proofErr w:type="spellEnd"/>
      <w:r w:rsidRPr="00CB69F2">
        <w:rPr>
          <w:rFonts w:cs="Times New Roman"/>
          <w:bCs/>
          <w:szCs w:val="28"/>
        </w:rPr>
        <w:t xml:space="preserve">, обратились к регуляторам США с просьбой разрешить исключение ответственности </w:t>
      </w:r>
      <w:proofErr w:type="gramStart"/>
      <w:r w:rsidRPr="00CB69F2">
        <w:rPr>
          <w:rFonts w:cs="Times New Roman"/>
          <w:bCs/>
          <w:szCs w:val="28"/>
        </w:rPr>
        <w:t>за</w:t>
      </w:r>
      <w:proofErr w:type="gramEnd"/>
      <w:r w:rsidRPr="00CB69F2">
        <w:rPr>
          <w:rFonts w:cs="Times New Roman"/>
          <w:bCs/>
          <w:szCs w:val="28"/>
        </w:rPr>
        <w:t xml:space="preserve"> </w:t>
      </w:r>
      <w:proofErr w:type="gramStart"/>
      <w:r w:rsidRPr="00CB69F2">
        <w:rPr>
          <w:rFonts w:cs="Times New Roman"/>
          <w:bCs/>
          <w:szCs w:val="28"/>
        </w:rPr>
        <w:t>ИИ</w:t>
      </w:r>
      <w:proofErr w:type="gramEnd"/>
      <w:r w:rsidRPr="00CB69F2">
        <w:rPr>
          <w:rFonts w:cs="Times New Roman"/>
          <w:bCs/>
          <w:szCs w:val="28"/>
        </w:rPr>
        <w:t xml:space="preserve">, включая использование чат-ботов и </w:t>
      </w:r>
      <w:proofErr w:type="spellStart"/>
      <w:r w:rsidRPr="00CB69F2">
        <w:rPr>
          <w:rFonts w:cs="Times New Roman"/>
          <w:bCs/>
          <w:szCs w:val="28"/>
        </w:rPr>
        <w:t>агентных</w:t>
      </w:r>
      <w:proofErr w:type="spellEnd"/>
      <w:r w:rsidRPr="00CB69F2">
        <w:rPr>
          <w:rFonts w:cs="Times New Roman"/>
          <w:bCs/>
          <w:szCs w:val="28"/>
        </w:rPr>
        <w:t xml:space="preserve"> систем, из действующих полисов. Например, WR </w:t>
      </w:r>
      <w:proofErr w:type="spellStart"/>
      <w:r w:rsidRPr="00CB69F2">
        <w:rPr>
          <w:rFonts w:cs="Times New Roman"/>
          <w:bCs/>
          <w:szCs w:val="28"/>
        </w:rPr>
        <w:t>Berkley</w:t>
      </w:r>
      <w:proofErr w:type="spellEnd"/>
      <w:r w:rsidRPr="00CB69F2">
        <w:rPr>
          <w:rFonts w:cs="Times New Roman"/>
          <w:bCs/>
          <w:szCs w:val="28"/>
        </w:rPr>
        <w:t xml:space="preserve"> предложила исключить покрытие для «любого фактического или предполагаемого использования» ИИ, включая продукты или услуги компании, «включающие» данную технологию.</w:t>
      </w:r>
    </w:p>
    <w:p w14:paraId="7421A388" w14:textId="77777777" w:rsidR="00CB69F2" w:rsidRPr="00CB69F2" w:rsidRDefault="00CB69F2" w:rsidP="00CB69F2">
      <w:pPr>
        <w:spacing w:after="0" w:line="276" w:lineRule="auto"/>
        <w:ind w:firstLine="851"/>
        <w:jc w:val="both"/>
        <w:rPr>
          <w:rFonts w:cs="Times New Roman"/>
          <w:bCs/>
          <w:szCs w:val="28"/>
        </w:rPr>
      </w:pPr>
      <w:r w:rsidRPr="00CB69F2">
        <w:rPr>
          <w:rFonts w:cs="Times New Roman"/>
          <w:bCs/>
          <w:szCs w:val="28"/>
        </w:rPr>
        <w:t>Автор отмечает, что страховые компании пока не планируют немедленно вводить исключения, но получают одобрение заранее, чтобы иметь возможность сделать это в будущем. При этом страховщики всё чаще считают выходные данные моделей ИИ «слишком непредсказуемыми и непрозрачными» для страхования.</w:t>
      </w:r>
    </w:p>
    <w:p w14:paraId="08344F69" w14:textId="089FA7A4" w:rsidR="00CB69F2" w:rsidRPr="00CB69F2" w:rsidRDefault="00CB69F2" w:rsidP="00CB69F2">
      <w:pPr>
        <w:spacing w:after="0" w:line="276" w:lineRule="auto"/>
        <w:ind w:firstLine="851"/>
        <w:jc w:val="both"/>
        <w:rPr>
          <w:rFonts w:cs="Times New Roman"/>
          <w:bCs/>
          <w:szCs w:val="28"/>
        </w:rPr>
      </w:pPr>
      <w:r w:rsidRPr="00CB69F2">
        <w:rPr>
          <w:rFonts w:cs="Times New Roman"/>
          <w:bCs/>
          <w:szCs w:val="28"/>
        </w:rPr>
        <w:t xml:space="preserve">В статье также подчеркивается, что отрасль обеспокоена потенциальным системным характером рисков ИИ. Как отмечает глава направления </w:t>
      </w:r>
      <w:proofErr w:type="spellStart"/>
      <w:r w:rsidRPr="00CB69F2">
        <w:rPr>
          <w:rFonts w:cs="Times New Roman"/>
          <w:bCs/>
          <w:szCs w:val="28"/>
        </w:rPr>
        <w:t>киберстрахования</w:t>
      </w:r>
      <w:proofErr w:type="spellEnd"/>
      <w:r w:rsidRPr="00CB69F2">
        <w:rPr>
          <w:rFonts w:cs="Times New Roman"/>
          <w:bCs/>
          <w:szCs w:val="28"/>
        </w:rPr>
        <w:t xml:space="preserve"> Европы в </w:t>
      </w:r>
      <w:proofErr w:type="spellStart"/>
      <w:r w:rsidRPr="00CB69F2">
        <w:rPr>
          <w:rFonts w:cs="Times New Roman"/>
          <w:bCs/>
          <w:szCs w:val="28"/>
        </w:rPr>
        <w:t>Mosaic</w:t>
      </w:r>
      <w:proofErr w:type="spellEnd"/>
      <w:r w:rsidRPr="00CB69F2">
        <w:rPr>
          <w:rFonts w:cs="Times New Roman"/>
          <w:bCs/>
          <w:szCs w:val="28"/>
        </w:rPr>
        <w:t xml:space="preserve"> </w:t>
      </w:r>
      <w:proofErr w:type="spellStart"/>
      <w:r w:rsidRPr="00CB69F2">
        <w:rPr>
          <w:rFonts w:cs="Times New Roman"/>
          <w:bCs/>
          <w:szCs w:val="28"/>
        </w:rPr>
        <w:t>Деннис</w:t>
      </w:r>
      <w:proofErr w:type="spellEnd"/>
      <w:r w:rsidRPr="00CB69F2">
        <w:rPr>
          <w:rFonts w:cs="Times New Roman"/>
          <w:bCs/>
          <w:szCs w:val="28"/>
        </w:rPr>
        <w:t xml:space="preserve"> </w:t>
      </w:r>
      <w:proofErr w:type="spellStart"/>
      <w:r w:rsidRPr="00CB69F2">
        <w:rPr>
          <w:rFonts w:cs="Times New Roman"/>
          <w:bCs/>
          <w:szCs w:val="28"/>
        </w:rPr>
        <w:t>Бертрам</w:t>
      </w:r>
      <w:proofErr w:type="spellEnd"/>
      <w:r w:rsidRPr="00CB69F2">
        <w:rPr>
          <w:rFonts w:cs="Times New Roman"/>
          <w:bCs/>
          <w:szCs w:val="28"/>
        </w:rPr>
        <w:t xml:space="preserve">, страховщики могут покрыть убыток одной компании, но не могут выдержать ситуацию, когда ошибка ИИ приводит к тысячам одновременно возникших претензий </w:t>
      </w:r>
      <w:r w:rsidR="00B934EE">
        <w:rPr>
          <w:rFonts w:cs="Times New Roman"/>
          <w:bCs/>
          <w:szCs w:val="28"/>
        </w:rPr>
        <w:t>–</w:t>
      </w:r>
      <w:r w:rsidRPr="00CB69F2">
        <w:rPr>
          <w:rFonts w:cs="Times New Roman"/>
          <w:bCs/>
          <w:szCs w:val="28"/>
        </w:rPr>
        <w:t xml:space="preserve"> системному и коррелированному риску.</w:t>
      </w:r>
    </w:p>
    <w:p w14:paraId="2CB9E68C" w14:textId="52158534" w:rsidR="00CB69F2" w:rsidRPr="00CB69F2" w:rsidRDefault="00CB69F2" w:rsidP="00CB69F2">
      <w:pPr>
        <w:spacing w:after="0" w:line="276" w:lineRule="auto"/>
        <w:ind w:firstLine="851"/>
        <w:jc w:val="both"/>
        <w:rPr>
          <w:rFonts w:cs="Times New Roman"/>
          <w:bCs/>
          <w:szCs w:val="28"/>
        </w:rPr>
      </w:pPr>
      <w:r w:rsidRPr="00CB69F2">
        <w:rPr>
          <w:rFonts w:cs="Times New Roman"/>
          <w:bCs/>
          <w:szCs w:val="28"/>
        </w:rPr>
        <w:t xml:space="preserve">Юридические эксперты предупреждают, что исключения по ИИ начинают появляться и на рынке США, и что это лишь начало изменений в страховой документации. В качестве примера упоминаются </w:t>
      </w:r>
      <w:proofErr w:type="spellStart"/>
      <w:r w:rsidRPr="00CB69F2">
        <w:rPr>
          <w:rFonts w:cs="Times New Roman"/>
          <w:bCs/>
          <w:szCs w:val="28"/>
        </w:rPr>
        <w:t>Hamilton</w:t>
      </w:r>
      <w:proofErr w:type="spellEnd"/>
      <w:r w:rsidRPr="00CB69F2">
        <w:rPr>
          <w:rFonts w:cs="Times New Roman"/>
          <w:bCs/>
          <w:szCs w:val="28"/>
        </w:rPr>
        <w:t xml:space="preserve"> </w:t>
      </w:r>
      <w:proofErr w:type="spellStart"/>
      <w:r w:rsidRPr="00CB69F2">
        <w:rPr>
          <w:rFonts w:cs="Times New Roman"/>
          <w:bCs/>
          <w:szCs w:val="28"/>
        </w:rPr>
        <w:t>Select</w:t>
      </w:r>
      <w:proofErr w:type="spellEnd"/>
      <w:r w:rsidRPr="00CB69F2">
        <w:rPr>
          <w:rFonts w:cs="Times New Roman"/>
          <w:bCs/>
          <w:szCs w:val="28"/>
        </w:rPr>
        <w:t xml:space="preserve"> </w:t>
      </w:r>
      <w:proofErr w:type="spellStart"/>
      <w:r w:rsidRPr="00CB69F2">
        <w:rPr>
          <w:rFonts w:cs="Times New Roman"/>
          <w:bCs/>
          <w:szCs w:val="28"/>
        </w:rPr>
        <w:t>Insurance</w:t>
      </w:r>
      <w:proofErr w:type="spellEnd"/>
      <w:r w:rsidRPr="00CB69F2">
        <w:rPr>
          <w:rFonts w:cs="Times New Roman"/>
          <w:bCs/>
          <w:szCs w:val="28"/>
        </w:rPr>
        <w:t xml:space="preserve"> и </w:t>
      </w:r>
      <w:proofErr w:type="spellStart"/>
      <w:r w:rsidRPr="00CB69F2">
        <w:rPr>
          <w:rFonts w:cs="Times New Roman"/>
          <w:bCs/>
          <w:szCs w:val="28"/>
        </w:rPr>
        <w:t>Philadelphia</w:t>
      </w:r>
      <w:proofErr w:type="spellEnd"/>
      <w:r w:rsidRPr="00CB69F2">
        <w:rPr>
          <w:rFonts w:cs="Times New Roman"/>
          <w:bCs/>
          <w:szCs w:val="28"/>
        </w:rPr>
        <w:t xml:space="preserve"> </w:t>
      </w:r>
      <w:proofErr w:type="spellStart"/>
      <w:r w:rsidRPr="00CB69F2">
        <w:rPr>
          <w:rFonts w:cs="Times New Roman"/>
          <w:bCs/>
          <w:szCs w:val="28"/>
        </w:rPr>
        <w:t>Indemnity</w:t>
      </w:r>
      <w:proofErr w:type="spellEnd"/>
      <w:r w:rsidRPr="00CB69F2">
        <w:rPr>
          <w:rFonts w:cs="Times New Roman"/>
          <w:bCs/>
          <w:szCs w:val="28"/>
        </w:rPr>
        <w:t xml:space="preserve"> </w:t>
      </w:r>
      <w:proofErr w:type="spellStart"/>
      <w:r w:rsidRPr="00CB69F2">
        <w:rPr>
          <w:rFonts w:cs="Times New Roman"/>
          <w:bCs/>
          <w:szCs w:val="28"/>
        </w:rPr>
        <w:t>Company</w:t>
      </w:r>
      <w:proofErr w:type="spellEnd"/>
      <w:r w:rsidRPr="00CB69F2">
        <w:rPr>
          <w:rFonts w:cs="Times New Roman"/>
          <w:bCs/>
          <w:szCs w:val="28"/>
        </w:rPr>
        <w:t xml:space="preserve">, которые пытались ввести ограничения ответственности за использование генеративного ИИ. Эксперты отмечают, что такие исключения пока непрозрачны и содержат </w:t>
      </w:r>
      <w:r>
        <w:rPr>
          <w:rFonts w:cs="Times New Roman"/>
          <w:bCs/>
          <w:szCs w:val="28"/>
        </w:rPr>
        <w:t>цикличные</w:t>
      </w:r>
      <w:r w:rsidRPr="00CB69F2">
        <w:rPr>
          <w:rFonts w:cs="Times New Roman"/>
          <w:bCs/>
          <w:szCs w:val="28"/>
        </w:rPr>
        <w:t xml:space="preserve"> определения, что может вызвать проблемы при судебных разбирательствах.</w:t>
      </w:r>
    </w:p>
    <w:p w14:paraId="7214E58D" w14:textId="01C21B48" w:rsidR="00CB69F2" w:rsidRPr="00CB69F2" w:rsidRDefault="00CB69F2" w:rsidP="00CB69F2">
      <w:pPr>
        <w:spacing w:after="0" w:line="276" w:lineRule="auto"/>
        <w:ind w:firstLine="851"/>
        <w:jc w:val="both"/>
        <w:rPr>
          <w:rFonts w:cs="Times New Roman"/>
          <w:bCs/>
          <w:szCs w:val="28"/>
        </w:rPr>
      </w:pPr>
      <w:r w:rsidRPr="00CB69F2">
        <w:rPr>
          <w:rFonts w:cs="Times New Roman"/>
          <w:bCs/>
          <w:szCs w:val="28"/>
        </w:rPr>
        <w:t xml:space="preserve">Автор подчеркивает, что рынок страхования активно работает над подобными вопросами, и в будущем покупатели страхования должны быть готовы к изменениям полисов, в том числе и за пределами США. Юридические эксперты считают, что ограничения и исключения по ИИ, вероятно, будут внедряться в полисы </w:t>
      </w:r>
      <w:r>
        <w:rPr>
          <w:rFonts w:cs="Times New Roman"/>
          <w:bCs/>
          <w:szCs w:val="28"/>
        </w:rPr>
        <w:t xml:space="preserve">по ответственности </w:t>
      </w:r>
      <w:r w:rsidRPr="00CB69F2">
        <w:rPr>
          <w:rFonts w:cs="Times New Roman"/>
          <w:bCs/>
          <w:szCs w:val="28"/>
        </w:rPr>
        <w:t xml:space="preserve">директоров и должностных лиц (D&amp;O </w:t>
      </w:r>
      <w:proofErr w:type="spellStart"/>
      <w:r w:rsidRPr="00CB69F2">
        <w:rPr>
          <w:rFonts w:cs="Times New Roman"/>
          <w:bCs/>
          <w:szCs w:val="28"/>
        </w:rPr>
        <w:t>policies</w:t>
      </w:r>
      <w:proofErr w:type="spellEnd"/>
      <w:r w:rsidRPr="00CB69F2">
        <w:rPr>
          <w:rFonts w:cs="Times New Roman"/>
          <w:bCs/>
          <w:szCs w:val="28"/>
        </w:rPr>
        <w:t xml:space="preserve">), где, скорее всего, будут возникать споры о </w:t>
      </w:r>
      <w:r w:rsidRPr="00CB69F2">
        <w:rPr>
          <w:rFonts w:cs="Times New Roman"/>
          <w:bCs/>
          <w:szCs w:val="28"/>
        </w:rPr>
        <w:lastRenderedPageBreak/>
        <w:t>том, связаны ли понесённые убытки с использованием искусственного интеллекта.</w:t>
      </w:r>
    </w:p>
    <w:p w14:paraId="33F9A8C6" w14:textId="77777777" w:rsidR="00CB69F2" w:rsidRDefault="00CB69F2" w:rsidP="00CB69F2">
      <w:pPr>
        <w:spacing w:after="0" w:line="276" w:lineRule="auto"/>
        <w:ind w:firstLine="851"/>
        <w:jc w:val="both"/>
        <w:rPr>
          <w:rFonts w:cs="Times New Roman"/>
          <w:bCs/>
          <w:szCs w:val="28"/>
        </w:rPr>
      </w:pPr>
      <w:r w:rsidRPr="00CB69F2">
        <w:rPr>
          <w:rFonts w:cs="Times New Roman"/>
          <w:bCs/>
          <w:szCs w:val="28"/>
        </w:rPr>
        <w:t>Таким образом, статья показывает, что ведущие страховщики США делают очередной шаг в вопросе распределения рисков, связанных с ИИ, и рынок страхования готовится к новым изменениям и возможным ограничениям покрытия.</w:t>
      </w:r>
    </w:p>
    <w:p w14:paraId="639DE626" w14:textId="3DD51FFA" w:rsidR="00E2202B" w:rsidRDefault="00CB69F2" w:rsidP="00D3273B">
      <w:pPr>
        <w:spacing w:after="0" w:line="276" w:lineRule="auto"/>
        <w:ind w:firstLine="851"/>
        <w:jc w:val="both"/>
      </w:pPr>
      <w:r w:rsidRPr="00647287">
        <w:rPr>
          <w:rFonts w:cs="Times New Roman"/>
          <w:b/>
          <w:bCs/>
          <w:szCs w:val="28"/>
        </w:rPr>
        <w:t>Источник</w:t>
      </w:r>
      <w:r w:rsidRPr="00647287">
        <w:rPr>
          <w:rFonts w:cs="Times New Roman"/>
          <w:bCs/>
          <w:szCs w:val="28"/>
        </w:rPr>
        <w:t xml:space="preserve">: </w:t>
      </w:r>
      <w:hyperlink r:id="rId16" w:history="1">
        <w:r w:rsidR="00937186" w:rsidRPr="00994DB8">
          <w:rPr>
            <w:rStyle w:val="ac"/>
          </w:rPr>
          <w:t>https://www.commercialriskonline.com/insurers-seek-to-pull-ai-liability-cover/</w:t>
        </w:r>
      </w:hyperlink>
      <w:r w:rsidR="00937186">
        <w:t xml:space="preserve"> </w:t>
      </w:r>
    </w:p>
    <w:p w14:paraId="370772CD" w14:textId="77777777" w:rsidR="00937186" w:rsidRDefault="00937186" w:rsidP="00D3273B">
      <w:pPr>
        <w:spacing w:after="0" w:line="276" w:lineRule="auto"/>
        <w:ind w:firstLine="851"/>
        <w:jc w:val="both"/>
      </w:pPr>
    </w:p>
    <w:p w14:paraId="4C938EFB" w14:textId="216B60B2" w:rsidR="00937186" w:rsidRDefault="00937186" w:rsidP="00937186">
      <w:pPr>
        <w:pStyle w:val="1"/>
        <w:spacing w:before="0" w:after="0" w:line="276" w:lineRule="auto"/>
        <w:ind w:firstLine="851"/>
        <w:jc w:val="both"/>
        <w:rPr>
          <w:rFonts w:ascii="Times New Roman" w:hAnsi="Times New Roman" w:cs="Times New Roman"/>
          <w:b/>
          <w:color w:val="000000" w:themeColor="text1"/>
          <w:kern w:val="0"/>
          <w:sz w:val="28"/>
          <w:szCs w:val="28"/>
          <w14:ligatures w14:val="none"/>
        </w:rPr>
      </w:pPr>
      <w:bookmarkStart w:id="8" w:name="_Toc222345228"/>
      <w:r>
        <w:rPr>
          <w:rFonts w:ascii="Times New Roman" w:hAnsi="Times New Roman" w:cs="Times New Roman"/>
          <w:b/>
          <w:color w:val="000000" w:themeColor="text1"/>
          <w:kern w:val="0"/>
          <w:sz w:val="28"/>
          <w:szCs w:val="28"/>
          <w14:ligatures w14:val="none"/>
        </w:rPr>
        <w:t>9</w:t>
      </w:r>
      <w:r w:rsidRPr="00274296">
        <w:rPr>
          <w:rFonts w:ascii="Times New Roman" w:hAnsi="Times New Roman" w:cs="Times New Roman"/>
          <w:b/>
          <w:color w:val="000000" w:themeColor="text1"/>
          <w:kern w:val="0"/>
          <w:sz w:val="28"/>
          <w:szCs w:val="28"/>
          <w14:ligatures w14:val="none"/>
        </w:rPr>
        <w:t>.</w:t>
      </w:r>
      <w:r w:rsidRPr="00274296">
        <w:rPr>
          <w:rFonts w:ascii="Times New Roman" w:hAnsi="Times New Roman" w:cs="Times New Roman"/>
          <w:b/>
          <w:color w:val="000000" w:themeColor="text1"/>
          <w:kern w:val="0"/>
          <w:sz w:val="28"/>
          <w:szCs w:val="28"/>
          <w14:ligatures w14:val="none"/>
        </w:rPr>
        <w:tab/>
      </w:r>
      <w:r w:rsidRPr="00937186">
        <w:rPr>
          <w:rFonts w:ascii="Times New Roman" w:hAnsi="Times New Roman" w:cs="Times New Roman"/>
          <w:b/>
          <w:color w:val="000000" w:themeColor="text1"/>
          <w:kern w:val="0"/>
          <w:sz w:val="28"/>
          <w:szCs w:val="28"/>
          <w14:ligatures w14:val="none"/>
        </w:rPr>
        <w:t>Директора и должностные лица сталкиваются с ростом риска исков в 2026 году</w:t>
      </w:r>
      <w:r w:rsidR="007A542A">
        <w:rPr>
          <w:rFonts w:ascii="Times New Roman" w:hAnsi="Times New Roman" w:cs="Times New Roman"/>
          <w:b/>
          <w:color w:val="000000" w:themeColor="text1"/>
          <w:kern w:val="0"/>
          <w:sz w:val="28"/>
          <w:szCs w:val="28"/>
          <w14:ligatures w14:val="none"/>
        </w:rPr>
        <w:t>,</w:t>
      </w:r>
      <w:r w:rsidRPr="00937186">
        <w:rPr>
          <w:rFonts w:ascii="Times New Roman" w:hAnsi="Times New Roman" w:cs="Times New Roman"/>
          <w:b/>
          <w:color w:val="000000" w:themeColor="text1"/>
          <w:kern w:val="0"/>
          <w:sz w:val="28"/>
          <w:szCs w:val="28"/>
          <w14:ligatures w14:val="none"/>
        </w:rPr>
        <w:t xml:space="preserve"> предупреждает </w:t>
      </w:r>
      <w:proofErr w:type="spellStart"/>
      <w:r w:rsidRPr="00937186">
        <w:rPr>
          <w:rFonts w:ascii="Times New Roman" w:hAnsi="Times New Roman" w:cs="Times New Roman"/>
          <w:b/>
          <w:color w:val="000000" w:themeColor="text1"/>
          <w:kern w:val="0"/>
          <w:sz w:val="28"/>
          <w:szCs w:val="28"/>
          <w14:ligatures w14:val="none"/>
        </w:rPr>
        <w:t>Allianz</w:t>
      </w:r>
      <w:proofErr w:type="spellEnd"/>
      <w:r w:rsidRPr="00937186">
        <w:rPr>
          <w:rFonts w:ascii="Times New Roman" w:hAnsi="Times New Roman" w:cs="Times New Roman"/>
          <w:b/>
          <w:color w:val="000000" w:themeColor="text1"/>
          <w:kern w:val="0"/>
          <w:sz w:val="28"/>
          <w:szCs w:val="28"/>
          <w14:ligatures w14:val="none"/>
        </w:rPr>
        <w:t xml:space="preserve"> </w:t>
      </w:r>
      <w:proofErr w:type="spellStart"/>
      <w:r w:rsidRPr="00937186">
        <w:rPr>
          <w:rFonts w:ascii="Times New Roman" w:hAnsi="Times New Roman" w:cs="Times New Roman"/>
          <w:b/>
          <w:color w:val="000000" w:themeColor="text1"/>
          <w:kern w:val="0"/>
          <w:sz w:val="28"/>
          <w:szCs w:val="28"/>
          <w14:ligatures w14:val="none"/>
        </w:rPr>
        <w:t>Commercial</w:t>
      </w:r>
      <w:bookmarkEnd w:id="8"/>
      <w:proofErr w:type="spellEnd"/>
    </w:p>
    <w:p w14:paraId="17282DED" w14:textId="77777777" w:rsidR="00937186" w:rsidRPr="00937186" w:rsidRDefault="00937186" w:rsidP="00937186">
      <w:pPr>
        <w:spacing w:after="0" w:line="276" w:lineRule="auto"/>
        <w:ind w:firstLine="851"/>
        <w:jc w:val="both"/>
        <w:rPr>
          <w:rFonts w:cs="Times New Roman"/>
          <w:bCs/>
          <w:szCs w:val="28"/>
        </w:rPr>
      </w:pPr>
      <w:r w:rsidRPr="00937186">
        <w:rPr>
          <w:rFonts w:cs="Times New Roman"/>
          <w:bCs/>
          <w:szCs w:val="28"/>
        </w:rPr>
        <w:t xml:space="preserve">В статье рассматривается доклад </w:t>
      </w:r>
      <w:proofErr w:type="spellStart"/>
      <w:r w:rsidRPr="00937186">
        <w:rPr>
          <w:rFonts w:cs="Times New Roman"/>
          <w:bCs/>
          <w:szCs w:val="28"/>
        </w:rPr>
        <w:t>Allianz</w:t>
      </w:r>
      <w:proofErr w:type="spellEnd"/>
      <w:r w:rsidRPr="00937186">
        <w:rPr>
          <w:rFonts w:cs="Times New Roman"/>
          <w:bCs/>
          <w:szCs w:val="28"/>
        </w:rPr>
        <w:t xml:space="preserve"> </w:t>
      </w:r>
      <w:proofErr w:type="spellStart"/>
      <w:r w:rsidRPr="00937186">
        <w:rPr>
          <w:rFonts w:cs="Times New Roman"/>
          <w:bCs/>
          <w:szCs w:val="28"/>
        </w:rPr>
        <w:t>Commercial</w:t>
      </w:r>
      <w:proofErr w:type="spellEnd"/>
      <w:r w:rsidRPr="00937186">
        <w:rPr>
          <w:rFonts w:cs="Times New Roman"/>
          <w:bCs/>
          <w:szCs w:val="28"/>
        </w:rPr>
        <w:t xml:space="preserve"> «D&amp;O </w:t>
      </w:r>
      <w:proofErr w:type="spellStart"/>
      <w:r w:rsidRPr="00937186">
        <w:rPr>
          <w:rFonts w:cs="Times New Roman"/>
          <w:bCs/>
          <w:szCs w:val="28"/>
        </w:rPr>
        <w:t>Insurance</w:t>
      </w:r>
      <w:proofErr w:type="spellEnd"/>
      <w:r w:rsidRPr="00937186">
        <w:rPr>
          <w:rFonts w:cs="Times New Roman"/>
          <w:bCs/>
          <w:szCs w:val="28"/>
        </w:rPr>
        <w:t xml:space="preserve"> </w:t>
      </w:r>
      <w:proofErr w:type="spellStart"/>
      <w:r w:rsidRPr="00937186">
        <w:rPr>
          <w:rFonts w:cs="Times New Roman"/>
          <w:bCs/>
          <w:szCs w:val="28"/>
        </w:rPr>
        <w:t>Insights</w:t>
      </w:r>
      <w:proofErr w:type="spellEnd"/>
      <w:r w:rsidRPr="00937186">
        <w:rPr>
          <w:rFonts w:cs="Times New Roman"/>
          <w:bCs/>
          <w:szCs w:val="28"/>
        </w:rPr>
        <w:t xml:space="preserve"> 2026», в котором анализируются актуальные риски для директоров и должностных лиц (D&amp;O – </w:t>
      </w:r>
      <w:proofErr w:type="spellStart"/>
      <w:r w:rsidRPr="00937186">
        <w:rPr>
          <w:rFonts w:cs="Times New Roman"/>
          <w:bCs/>
          <w:szCs w:val="28"/>
        </w:rPr>
        <w:t>Directors</w:t>
      </w:r>
      <w:proofErr w:type="spellEnd"/>
      <w:r w:rsidRPr="00937186">
        <w:rPr>
          <w:rFonts w:cs="Times New Roman"/>
          <w:bCs/>
          <w:szCs w:val="28"/>
        </w:rPr>
        <w:t xml:space="preserve"> &amp; </w:t>
      </w:r>
      <w:proofErr w:type="spellStart"/>
      <w:r w:rsidRPr="00937186">
        <w:rPr>
          <w:rFonts w:cs="Times New Roman"/>
          <w:bCs/>
          <w:szCs w:val="28"/>
        </w:rPr>
        <w:t>Officers</w:t>
      </w:r>
      <w:proofErr w:type="spellEnd"/>
      <w:r w:rsidRPr="00937186">
        <w:rPr>
          <w:rFonts w:cs="Times New Roman"/>
          <w:bCs/>
          <w:szCs w:val="28"/>
        </w:rPr>
        <w:t xml:space="preserve">) корпораций всех размеров. Автор подчеркивает, что число и тяжесть претензий к D&amp;O увеличиваются, что особенно заметно в США, где средняя сумма урегулирования по искам D&amp;O в первой половине 2025 года выросла на 27% и составила 56 </w:t>
      </w:r>
      <w:proofErr w:type="gramStart"/>
      <w:r w:rsidRPr="00937186">
        <w:rPr>
          <w:rFonts w:cs="Times New Roman"/>
          <w:bCs/>
          <w:szCs w:val="28"/>
        </w:rPr>
        <w:t>млн</w:t>
      </w:r>
      <w:proofErr w:type="gramEnd"/>
      <w:r w:rsidRPr="00937186">
        <w:rPr>
          <w:rFonts w:cs="Times New Roman"/>
          <w:bCs/>
          <w:szCs w:val="28"/>
        </w:rPr>
        <w:t xml:space="preserve"> долларов США, главным образом из-за коллективных исков по ценным бумагам.</w:t>
      </w:r>
    </w:p>
    <w:p w14:paraId="104455AE" w14:textId="77777777" w:rsidR="00937186" w:rsidRPr="00937186" w:rsidRDefault="00937186" w:rsidP="00937186">
      <w:pPr>
        <w:spacing w:after="0" w:line="276" w:lineRule="auto"/>
        <w:ind w:firstLine="851"/>
        <w:jc w:val="both"/>
        <w:rPr>
          <w:rFonts w:cs="Times New Roman"/>
          <w:bCs/>
          <w:szCs w:val="28"/>
        </w:rPr>
      </w:pPr>
      <w:r w:rsidRPr="00937186">
        <w:rPr>
          <w:rFonts w:cs="Times New Roman"/>
          <w:bCs/>
          <w:szCs w:val="28"/>
        </w:rPr>
        <w:t xml:space="preserve">В статье говорится о том, что директора могут быть привлечены к ответственности за недооценку влияния геополитических событий на деятельность компании или за несоблюдение правовых и регуляторных требований в разных юрисдикциях. Рост </w:t>
      </w:r>
      <w:proofErr w:type="spellStart"/>
      <w:r w:rsidRPr="00937186">
        <w:rPr>
          <w:rFonts w:cs="Times New Roman"/>
          <w:bCs/>
          <w:szCs w:val="28"/>
        </w:rPr>
        <w:t>киберрисков</w:t>
      </w:r>
      <w:proofErr w:type="spellEnd"/>
      <w:r w:rsidRPr="00937186">
        <w:rPr>
          <w:rFonts w:cs="Times New Roman"/>
          <w:bCs/>
          <w:szCs w:val="28"/>
        </w:rPr>
        <w:t xml:space="preserve"> приводит к усилению требований к надзору за </w:t>
      </w:r>
      <w:proofErr w:type="spellStart"/>
      <w:r w:rsidRPr="00937186">
        <w:rPr>
          <w:rFonts w:cs="Times New Roman"/>
          <w:bCs/>
          <w:szCs w:val="28"/>
        </w:rPr>
        <w:t>кибербезопасностью</w:t>
      </w:r>
      <w:proofErr w:type="spellEnd"/>
      <w:r w:rsidRPr="00937186">
        <w:rPr>
          <w:rFonts w:cs="Times New Roman"/>
          <w:bCs/>
          <w:szCs w:val="28"/>
        </w:rPr>
        <w:t xml:space="preserve"> советов директоров и увеличению числа судебных и регулирующих процедур. Среди причин претензий – утечки данных, атаки программ-вымогателей и технические сбои. В случае финансовых потерь из-за </w:t>
      </w:r>
      <w:proofErr w:type="spellStart"/>
      <w:r w:rsidRPr="00937186">
        <w:rPr>
          <w:rFonts w:cs="Times New Roman"/>
          <w:bCs/>
          <w:szCs w:val="28"/>
        </w:rPr>
        <w:t>киберинцидентов</w:t>
      </w:r>
      <w:proofErr w:type="spellEnd"/>
      <w:r w:rsidRPr="00937186">
        <w:rPr>
          <w:rFonts w:cs="Times New Roman"/>
          <w:bCs/>
          <w:szCs w:val="28"/>
        </w:rPr>
        <w:t xml:space="preserve"> акционеры, клиенты или поставщики могут предъявить иски, если совет директоров не обеспечил надлежащие меры контроля рисков и планирование непрерывности бизнеса.</w:t>
      </w:r>
    </w:p>
    <w:p w14:paraId="5C50E4E3" w14:textId="77777777" w:rsidR="00937186" w:rsidRPr="00937186" w:rsidRDefault="00937186" w:rsidP="00937186">
      <w:pPr>
        <w:spacing w:after="0" w:line="276" w:lineRule="auto"/>
        <w:ind w:firstLine="851"/>
        <w:jc w:val="both"/>
        <w:rPr>
          <w:rFonts w:cs="Times New Roman"/>
          <w:bCs/>
          <w:szCs w:val="28"/>
        </w:rPr>
      </w:pPr>
      <w:r w:rsidRPr="00937186">
        <w:rPr>
          <w:rFonts w:cs="Times New Roman"/>
          <w:bCs/>
          <w:szCs w:val="28"/>
        </w:rPr>
        <w:t>Особое внимание в статье уделяется роли искусственного интеллекта (ИИ) в увеличении ответственности D&amp;O. В первой половине 2025 года наблюдался рост количества исков, связанных с ИИ, когда утверждалось, что руководство преувеличивало выгоды ИИ для бизнеса или недооценивало риски для прибыльности.</w:t>
      </w:r>
    </w:p>
    <w:p w14:paraId="3F20F510" w14:textId="77777777" w:rsidR="00937186" w:rsidRPr="00937186" w:rsidRDefault="00937186" w:rsidP="00937186">
      <w:pPr>
        <w:spacing w:after="0" w:line="276" w:lineRule="auto"/>
        <w:ind w:firstLine="851"/>
        <w:jc w:val="both"/>
        <w:rPr>
          <w:rFonts w:cs="Times New Roman"/>
          <w:bCs/>
          <w:szCs w:val="28"/>
        </w:rPr>
      </w:pPr>
      <w:r w:rsidRPr="00937186">
        <w:rPr>
          <w:rFonts w:cs="Times New Roman"/>
          <w:bCs/>
          <w:szCs w:val="28"/>
        </w:rPr>
        <w:t xml:space="preserve">Статья подчеркивает, что банкротства остаются важным источником частных претензий D&amp;O во всём мире. Ожидается рост числа корпоративных банкротств на 6% в 2025 году и на 5% в 2026 году, при этом увеличивается </w:t>
      </w:r>
      <w:r w:rsidRPr="00937186">
        <w:rPr>
          <w:rFonts w:cs="Times New Roman"/>
          <w:bCs/>
          <w:szCs w:val="28"/>
        </w:rPr>
        <w:lastRenderedPageBreak/>
        <w:t xml:space="preserve">число крупных банкротств в США среди компаний с активами свыше 1 </w:t>
      </w:r>
      <w:proofErr w:type="gramStart"/>
      <w:r w:rsidRPr="00937186">
        <w:rPr>
          <w:rFonts w:cs="Times New Roman"/>
          <w:bCs/>
          <w:szCs w:val="28"/>
        </w:rPr>
        <w:t>млрд</w:t>
      </w:r>
      <w:proofErr w:type="gramEnd"/>
      <w:r w:rsidRPr="00937186">
        <w:rPr>
          <w:rFonts w:cs="Times New Roman"/>
          <w:bCs/>
          <w:szCs w:val="28"/>
        </w:rPr>
        <w:t xml:space="preserve"> долларов США.</w:t>
      </w:r>
    </w:p>
    <w:p w14:paraId="60F6B8EE" w14:textId="747B6426" w:rsidR="00937186" w:rsidRPr="00937186" w:rsidRDefault="00937186" w:rsidP="00937186">
      <w:pPr>
        <w:spacing w:after="0" w:line="276" w:lineRule="auto"/>
        <w:ind w:firstLine="851"/>
        <w:jc w:val="both"/>
        <w:rPr>
          <w:rFonts w:cs="Times New Roman"/>
          <w:bCs/>
          <w:szCs w:val="28"/>
        </w:rPr>
      </w:pPr>
      <w:r w:rsidRPr="00937186">
        <w:rPr>
          <w:rFonts w:cs="Times New Roman"/>
          <w:bCs/>
          <w:szCs w:val="28"/>
        </w:rPr>
        <w:t>Автор отмечает, что сложная экономическая среда, включая тарифные изменения, слабый спрос, рост издержек, технологические преобразования, усиление конкуренции и изменения в регулировании, увеличивает вероятность претензий к директорам. Также новые требования в области разнообразия и инклюзии, ESG и ИИ создают дополнительную нагрузку на советы директоров.</w:t>
      </w:r>
    </w:p>
    <w:p w14:paraId="3F3AC382" w14:textId="3CBDF1B4" w:rsidR="00937186" w:rsidRPr="00937186" w:rsidRDefault="00937186" w:rsidP="00937186">
      <w:pPr>
        <w:spacing w:after="0" w:line="276" w:lineRule="auto"/>
        <w:ind w:firstLine="851"/>
        <w:jc w:val="both"/>
        <w:rPr>
          <w:rFonts w:cs="Times New Roman"/>
          <w:bCs/>
          <w:szCs w:val="28"/>
        </w:rPr>
      </w:pPr>
      <w:r w:rsidRPr="00937186">
        <w:rPr>
          <w:rFonts w:cs="Times New Roman"/>
          <w:bCs/>
          <w:szCs w:val="28"/>
        </w:rPr>
        <w:t>В статье говорится, что для уменьшения уязвимости директоров важно выявлять новые риски и раскрывать потенциальные угрозы заранее. Автор подчеркивает, что современные директора должны оценивать не только уже произошедшие события, но и потенциальные риски, чтобы эффективно управлять компанией и минимизировать вероятность претензий.</w:t>
      </w:r>
    </w:p>
    <w:p w14:paraId="15497389" w14:textId="43F6F756" w:rsidR="00937186" w:rsidRDefault="00937186" w:rsidP="00937186">
      <w:pPr>
        <w:spacing w:after="0" w:line="276" w:lineRule="auto"/>
        <w:ind w:firstLine="851"/>
        <w:jc w:val="both"/>
        <w:rPr>
          <w:rFonts w:cs="Times New Roman"/>
          <w:bCs/>
          <w:szCs w:val="28"/>
        </w:rPr>
      </w:pPr>
      <w:r w:rsidRPr="00937186">
        <w:rPr>
          <w:rFonts w:cs="Times New Roman"/>
          <w:bCs/>
          <w:szCs w:val="28"/>
        </w:rPr>
        <w:t xml:space="preserve">Таким образом, доклад </w:t>
      </w:r>
      <w:proofErr w:type="spellStart"/>
      <w:r w:rsidRPr="00937186">
        <w:rPr>
          <w:rFonts w:cs="Times New Roman"/>
          <w:bCs/>
          <w:szCs w:val="28"/>
        </w:rPr>
        <w:t>Allianz</w:t>
      </w:r>
      <w:proofErr w:type="spellEnd"/>
      <w:r w:rsidRPr="00937186">
        <w:rPr>
          <w:rFonts w:cs="Times New Roman"/>
          <w:bCs/>
          <w:szCs w:val="28"/>
        </w:rPr>
        <w:t xml:space="preserve"> </w:t>
      </w:r>
      <w:proofErr w:type="spellStart"/>
      <w:r w:rsidRPr="00937186">
        <w:rPr>
          <w:rFonts w:cs="Times New Roman"/>
          <w:bCs/>
          <w:szCs w:val="28"/>
        </w:rPr>
        <w:t>Commercial</w:t>
      </w:r>
      <w:proofErr w:type="spellEnd"/>
      <w:r w:rsidRPr="00937186">
        <w:rPr>
          <w:rFonts w:cs="Times New Roman"/>
          <w:bCs/>
          <w:szCs w:val="28"/>
        </w:rPr>
        <w:t xml:space="preserve"> демонстрирует рост числа и тяжести претензий к D&amp;O, подчеркивает влияние </w:t>
      </w:r>
      <w:proofErr w:type="spellStart"/>
      <w:r w:rsidRPr="00937186">
        <w:rPr>
          <w:rFonts w:cs="Times New Roman"/>
          <w:bCs/>
          <w:szCs w:val="28"/>
        </w:rPr>
        <w:t>киберрисков</w:t>
      </w:r>
      <w:proofErr w:type="spellEnd"/>
      <w:r w:rsidRPr="00937186">
        <w:rPr>
          <w:rFonts w:cs="Times New Roman"/>
          <w:bCs/>
          <w:szCs w:val="28"/>
        </w:rPr>
        <w:t xml:space="preserve">, геополитики, ИИ и банкротств на ответственность директоров, а также указывает на необходимость </w:t>
      </w:r>
      <w:proofErr w:type="spellStart"/>
      <w:r w:rsidRPr="00937186">
        <w:rPr>
          <w:rFonts w:cs="Times New Roman"/>
          <w:bCs/>
          <w:szCs w:val="28"/>
        </w:rPr>
        <w:t>проактивного</w:t>
      </w:r>
      <w:proofErr w:type="spellEnd"/>
      <w:r w:rsidRPr="00937186">
        <w:rPr>
          <w:rFonts w:cs="Times New Roman"/>
          <w:bCs/>
          <w:szCs w:val="28"/>
        </w:rPr>
        <w:t xml:space="preserve"> управления рисками и раскрытия потенциальных угроз для защиты компан</w:t>
      </w:r>
      <w:proofErr w:type="gramStart"/>
      <w:r w:rsidRPr="00937186">
        <w:rPr>
          <w:rFonts w:cs="Times New Roman"/>
          <w:bCs/>
          <w:szCs w:val="28"/>
        </w:rPr>
        <w:t>ии и её</w:t>
      </w:r>
      <w:proofErr w:type="gramEnd"/>
      <w:r w:rsidRPr="00937186">
        <w:rPr>
          <w:rFonts w:cs="Times New Roman"/>
          <w:bCs/>
          <w:szCs w:val="28"/>
        </w:rPr>
        <w:t xml:space="preserve"> руководства.</w:t>
      </w:r>
    </w:p>
    <w:p w14:paraId="3DE2017F" w14:textId="733D5431" w:rsidR="00937186" w:rsidRPr="00647287" w:rsidRDefault="00937186" w:rsidP="00937186">
      <w:pPr>
        <w:spacing w:after="0" w:line="276" w:lineRule="auto"/>
        <w:ind w:firstLine="851"/>
        <w:jc w:val="both"/>
        <w:rPr>
          <w:rFonts w:cs="Times New Roman"/>
          <w:bCs/>
          <w:szCs w:val="28"/>
        </w:rPr>
      </w:pPr>
      <w:r w:rsidRPr="00647287">
        <w:rPr>
          <w:rFonts w:cs="Times New Roman"/>
          <w:b/>
          <w:bCs/>
          <w:szCs w:val="28"/>
        </w:rPr>
        <w:t>Источник</w:t>
      </w:r>
      <w:r w:rsidRPr="00647287">
        <w:rPr>
          <w:rFonts w:cs="Times New Roman"/>
          <w:bCs/>
          <w:szCs w:val="28"/>
        </w:rPr>
        <w:t xml:space="preserve">: </w:t>
      </w:r>
      <w:hyperlink r:id="rId17" w:history="1">
        <w:r w:rsidRPr="00994DB8">
          <w:rPr>
            <w:rStyle w:val="ac"/>
          </w:rPr>
          <w:t>https://www.commercialriskonline.com/dos-face-heightened-risk-of-claims-in-2026-warns-allianz-commercial/</w:t>
        </w:r>
      </w:hyperlink>
      <w:r>
        <w:t xml:space="preserve"> </w:t>
      </w:r>
    </w:p>
    <w:p w14:paraId="32A705BA" w14:textId="77777777" w:rsidR="00937186" w:rsidRDefault="00937186" w:rsidP="00D3273B">
      <w:pPr>
        <w:spacing w:after="0" w:line="276" w:lineRule="auto"/>
        <w:ind w:firstLine="851"/>
        <w:jc w:val="both"/>
        <w:rPr>
          <w:rFonts w:cs="Times New Roman"/>
          <w:bCs/>
          <w:szCs w:val="28"/>
        </w:rPr>
      </w:pPr>
    </w:p>
    <w:p w14:paraId="1814279B" w14:textId="113F4F67" w:rsidR="00937186" w:rsidRDefault="00937186" w:rsidP="00937186">
      <w:pPr>
        <w:pStyle w:val="1"/>
        <w:spacing w:before="0" w:after="0" w:line="276" w:lineRule="auto"/>
        <w:ind w:firstLine="851"/>
        <w:jc w:val="both"/>
        <w:rPr>
          <w:rFonts w:ascii="Times New Roman" w:hAnsi="Times New Roman" w:cs="Times New Roman"/>
          <w:b/>
          <w:color w:val="000000" w:themeColor="text1"/>
          <w:kern w:val="0"/>
          <w:sz w:val="28"/>
          <w:szCs w:val="28"/>
          <w14:ligatures w14:val="none"/>
        </w:rPr>
      </w:pPr>
      <w:bookmarkStart w:id="9" w:name="_Toc222345229"/>
      <w:r>
        <w:rPr>
          <w:rFonts w:ascii="Times New Roman" w:hAnsi="Times New Roman" w:cs="Times New Roman"/>
          <w:b/>
          <w:color w:val="000000" w:themeColor="text1"/>
          <w:kern w:val="0"/>
          <w:sz w:val="28"/>
          <w:szCs w:val="28"/>
          <w14:ligatures w14:val="none"/>
        </w:rPr>
        <w:t>10</w:t>
      </w:r>
      <w:r w:rsidRPr="00274296">
        <w:rPr>
          <w:rFonts w:ascii="Times New Roman" w:hAnsi="Times New Roman" w:cs="Times New Roman"/>
          <w:b/>
          <w:color w:val="000000" w:themeColor="text1"/>
          <w:kern w:val="0"/>
          <w:sz w:val="28"/>
          <w:szCs w:val="28"/>
          <w14:ligatures w14:val="none"/>
        </w:rPr>
        <w:t>.</w:t>
      </w:r>
      <w:r w:rsidRPr="00274296">
        <w:rPr>
          <w:rFonts w:ascii="Times New Roman" w:hAnsi="Times New Roman" w:cs="Times New Roman"/>
          <w:b/>
          <w:color w:val="000000" w:themeColor="text1"/>
          <w:kern w:val="0"/>
          <w:sz w:val="28"/>
          <w:szCs w:val="28"/>
          <w14:ligatures w14:val="none"/>
        </w:rPr>
        <w:tab/>
      </w:r>
      <w:r w:rsidR="00B934EE" w:rsidRPr="00B934EE">
        <w:rPr>
          <w:rFonts w:ascii="Times New Roman" w:hAnsi="Times New Roman" w:cs="Times New Roman"/>
          <w:b/>
          <w:color w:val="000000" w:themeColor="text1"/>
          <w:kern w:val="0"/>
          <w:sz w:val="28"/>
          <w:szCs w:val="28"/>
          <w14:ligatures w14:val="none"/>
        </w:rPr>
        <w:t>Геоэкономическая конфронтация выходит на первое место в отчёте WEF по глобальным рискам</w:t>
      </w:r>
      <w:bookmarkEnd w:id="9"/>
    </w:p>
    <w:p w14:paraId="47A67385" w14:textId="77777777" w:rsidR="00B934EE" w:rsidRPr="00B934EE" w:rsidRDefault="00B934EE" w:rsidP="00B934EE">
      <w:pPr>
        <w:spacing w:after="0" w:line="276" w:lineRule="auto"/>
        <w:ind w:firstLine="851"/>
        <w:jc w:val="both"/>
        <w:rPr>
          <w:rFonts w:cs="Times New Roman"/>
          <w:bCs/>
          <w:szCs w:val="28"/>
        </w:rPr>
      </w:pPr>
      <w:r w:rsidRPr="00B934EE">
        <w:rPr>
          <w:rFonts w:cs="Times New Roman"/>
          <w:bCs/>
          <w:szCs w:val="28"/>
        </w:rPr>
        <w:t>В статье рассматриваются результаты последнего ежегодного отчёта Всемирного экономического форума (</w:t>
      </w:r>
      <w:proofErr w:type="spellStart"/>
      <w:r w:rsidRPr="00B934EE">
        <w:rPr>
          <w:rFonts w:cs="Times New Roman"/>
          <w:bCs/>
          <w:szCs w:val="28"/>
        </w:rPr>
        <w:t>World</w:t>
      </w:r>
      <w:proofErr w:type="spellEnd"/>
      <w:r w:rsidRPr="00B934EE">
        <w:rPr>
          <w:rFonts w:cs="Times New Roman"/>
          <w:bCs/>
          <w:szCs w:val="28"/>
        </w:rPr>
        <w:t xml:space="preserve"> </w:t>
      </w:r>
      <w:proofErr w:type="spellStart"/>
      <w:r w:rsidRPr="00B934EE">
        <w:rPr>
          <w:rFonts w:cs="Times New Roman"/>
          <w:bCs/>
          <w:szCs w:val="28"/>
        </w:rPr>
        <w:t>Economic</w:t>
      </w:r>
      <w:proofErr w:type="spellEnd"/>
      <w:r w:rsidRPr="00B934EE">
        <w:rPr>
          <w:rFonts w:cs="Times New Roman"/>
          <w:bCs/>
          <w:szCs w:val="28"/>
        </w:rPr>
        <w:t xml:space="preserve"> </w:t>
      </w:r>
      <w:proofErr w:type="spellStart"/>
      <w:r w:rsidRPr="00B934EE">
        <w:rPr>
          <w:rFonts w:cs="Times New Roman"/>
          <w:bCs/>
          <w:szCs w:val="28"/>
        </w:rPr>
        <w:t>Forum</w:t>
      </w:r>
      <w:proofErr w:type="spellEnd"/>
      <w:r w:rsidRPr="00B934EE">
        <w:rPr>
          <w:rFonts w:cs="Times New Roman"/>
          <w:bCs/>
          <w:szCs w:val="28"/>
        </w:rPr>
        <w:t xml:space="preserve">, WEF) </w:t>
      </w:r>
      <w:proofErr w:type="spellStart"/>
      <w:r w:rsidRPr="00B934EE">
        <w:rPr>
          <w:rFonts w:cs="Times New Roman"/>
          <w:bCs/>
          <w:szCs w:val="28"/>
        </w:rPr>
        <w:t>Global</w:t>
      </w:r>
      <w:proofErr w:type="spellEnd"/>
      <w:r w:rsidRPr="00B934EE">
        <w:rPr>
          <w:rFonts w:cs="Times New Roman"/>
          <w:bCs/>
          <w:szCs w:val="28"/>
        </w:rPr>
        <w:t xml:space="preserve"> </w:t>
      </w:r>
      <w:proofErr w:type="spellStart"/>
      <w:r w:rsidRPr="00B934EE">
        <w:rPr>
          <w:rFonts w:cs="Times New Roman"/>
          <w:bCs/>
          <w:szCs w:val="28"/>
        </w:rPr>
        <w:t>Risks</w:t>
      </w:r>
      <w:proofErr w:type="spellEnd"/>
      <w:r w:rsidRPr="00B934EE">
        <w:rPr>
          <w:rFonts w:cs="Times New Roman"/>
          <w:bCs/>
          <w:szCs w:val="28"/>
        </w:rPr>
        <w:t xml:space="preserve"> </w:t>
      </w:r>
      <w:proofErr w:type="spellStart"/>
      <w:r w:rsidRPr="00B934EE">
        <w:rPr>
          <w:rFonts w:cs="Times New Roman"/>
          <w:bCs/>
          <w:szCs w:val="28"/>
        </w:rPr>
        <w:t>Report</w:t>
      </w:r>
      <w:proofErr w:type="spellEnd"/>
      <w:r w:rsidRPr="00B934EE">
        <w:rPr>
          <w:rFonts w:cs="Times New Roman"/>
          <w:bCs/>
          <w:szCs w:val="28"/>
        </w:rPr>
        <w:t xml:space="preserve"> 2026, посвящённого оценке глобальных рисков на ближайшие два и десять лет.</w:t>
      </w:r>
    </w:p>
    <w:p w14:paraId="4406916E" w14:textId="350BFCB1" w:rsidR="00B934EE" w:rsidRPr="00B934EE" w:rsidRDefault="00B934EE" w:rsidP="00B934EE">
      <w:pPr>
        <w:spacing w:after="0" w:line="276" w:lineRule="auto"/>
        <w:ind w:firstLine="851"/>
        <w:jc w:val="both"/>
        <w:rPr>
          <w:rFonts w:cs="Times New Roman"/>
          <w:bCs/>
          <w:szCs w:val="28"/>
        </w:rPr>
      </w:pPr>
      <w:r w:rsidRPr="00B934EE">
        <w:rPr>
          <w:rFonts w:cs="Times New Roman"/>
          <w:bCs/>
          <w:szCs w:val="28"/>
        </w:rPr>
        <w:t>Автор подчеркивает, что геоэкономическая стала главной глобальной угрозой, обогнав межгосударственные конфликты, экстремальные погодные явления, социальную поляризацию и дезинформацию и ложную информацию, которые входят в пятёрку лидирующих рисков. В среднесрочной перспективе на два года геоэкономическая конфронтация поднялась на восемь позиций до первого места, а дезинформация, поляризация общества, экстремальные погодные явления и межгосударственные конфликты занимают второе-пятое места соответственно.</w:t>
      </w:r>
    </w:p>
    <w:p w14:paraId="3F86D114" w14:textId="6C34C60E" w:rsidR="00B934EE" w:rsidRPr="00B934EE" w:rsidRDefault="00B934EE" w:rsidP="00B934EE">
      <w:pPr>
        <w:spacing w:after="0" w:line="276" w:lineRule="auto"/>
        <w:ind w:firstLine="851"/>
        <w:jc w:val="both"/>
        <w:rPr>
          <w:rFonts w:cs="Times New Roman"/>
          <w:bCs/>
          <w:szCs w:val="28"/>
        </w:rPr>
      </w:pPr>
      <w:r w:rsidRPr="00B934EE">
        <w:rPr>
          <w:rFonts w:cs="Times New Roman"/>
          <w:bCs/>
          <w:szCs w:val="28"/>
        </w:rPr>
        <w:t xml:space="preserve">В статье говорится о том, что среди экономических рисков также наблюдается рост: экономический спад и инфляция поднялись на восемь </w:t>
      </w:r>
      <w:r w:rsidRPr="00B934EE">
        <w:rPr>
          <w:rFonts w:cs="Times New Roman"/>
          <w:bCs/>
          <w:szCs w:val="28"/>
        </w:rPr>
        <w:lastRenderedPageBreak/>
        <w:t xml:space="preserve">позиций, обвал активов </w:t>
      </w:r>
      <w:r>
        <w:rPr>
          <w:rFonts w:cs="Times New Roman"/>
          <w:bCs/>
          <w:szCs w:val="28"/>
        </w:rPr>
        <w:t>–</w:t>
      </w:r>
      <w:r w:rsidRPr="00B934EE">
        <w:rPr>
          <w:rFonts w:cs="Times New Roman"/>
          <w:bCs/>
          <w:szCs w:val="28"/>
        </w:rPr>
        <w:t xml:space="preserve"> на семь, а сбои критически важной инфраструктуры </w:t>
      </w:r>
      <w:r>
        <w:rPr>
          <w:rFonts w:cs="Times New Roman"/>
          <w:bCs/>
          <w:szCs w:val="28"/>
        </w:rPr>
        <w:t>–</w:t>
      </w:r>
      <w:r w:rsidRPr="00B934EE">
        <w:rPr>
          <w:rFonts w:cs="Times New Roman"/>
          <w:bCs/>
          <w:szCs w:val="28"/>
        </w:rPr>
        <w:t xml:space="preserve"> на четыре позиции. В долгосрочной перспективе на десять лет на первый план выходят экологические риски, включая экстремальные погодные явления, утрату биоразнообразия и коллапс экосистем, а технологические риски усиливаются, с ростом значимости дезинформации и неблагоприятных последствий использования искусственного интеллекта.</w:t>
      </w:r>
    </w:p>
    <w:p w14:paraId="20A31D54" w14:textId="77777777" w:rsidR="00B934EE" w:rsidRPr="00B934EE" w:rsidRDefault="00B934EE" w:rsidP="00B934EE">
      <w:pPr>
        <w:spacing w:after="0" w:line="276" w:lineRule="auto"/>
        <w:ind w:firstLine="851"/>
        <w:jc w:val="both"/>
        <w:rPr>
          <w:rFonts w:cs="Times New Roman"/>
          <w:bCs/>
          <w:szCs w:val="28"/>
        </w:rPr>
      </w:pPr>
      <w:r w:rsidRPr="00B934EE">
        <w:rPr>
          <w:rFonts w:cs="Times New Roman"/>
          <w:bCs/>
          <w:szCs w:val="28"/>
        </w:rPr>
        <w:t xml:space="preserve">Автор подчеркивает серьёзную обеспокоенность экспертов: 50% опрошенных прогнозируют нестабильный или турбулентный мир в ближайшие два года, а 57% ожидают такую ситуацию на горизонте десяти лет. Согласно оценкам, почти все 33 </w:t>
      </w:r>
      <w:proofErr w:type="gramStart"/>
      <w:r w:rsidRPr="00B934EE">
        <w:rPr>
          <w:rFonts w:cs="Times New Roman"/>
          <w:bCs/>
          <w:szCs w:val="28"/>
        </w:rPr>
        <w:t>ключевых</w:t>
      </w:r>
      <w:proofErr w:type="gramEnd"/>
      <w:r w:rsidRPr="00B934EE">
        <w:rPr>
          <w:rFonts w:cs="Times New Roman"/>
          <w:bCs/>
          <w:szCs w:val="28"/>
        </w:rPr>
        <w:t xml:space="preserve"> риска, кроме геоэкономической конфронтации, будут усиливаться в течение следующего десятилетия.</w:t>
      </w:r>
    </w:p>
    <w:p w14:paraId="685EF625" w14:textId="51E236DC" w:rsidR="00B934EE" w:rsidRPr="00B934EE" w:rsidRDefault="00B934EE" w:rsidP="00B934EE">
      <w:pPr>
        <w:spacing w:after="0" w:line="276" w:lineRule="auto"/>
        <w:ind w:firstLine="851"/>
        <w:jc w:val="both"/>
        <w:rPr>
          <w:rFonts w:cs="Times New Roman"/>
          <w:bCs/>
          <w:szCs w:val="28"/>
        </w:rPr>
      </w:pPr>
      <w:r w:rsidRPr="00B934EE">
        <w:rPr>
          <w:rFonts w:cs="Times New Roman"/>
          <w:bCs/>
          <w:szCs w:val="28"/>
        </w:rPr>
        <w:t xml:space="preserve">В статье отмечается, что геоэкономическая конфронтация угрожает цепочкам поставок и глобальной экономической стабильности, а также сотрудничеству, необходимому для реагирования на экономические шоки. 68% опрошенных ожидают многополярного или фрагментированного мирового порядка в ближайшие десять лет. Неравенство сохраняется на седьмом </w:t>
      </w:r>
      <w:proofErr w:type="gramStart"/>
      <w:r w:rsidRPr="00B934EE">
        <w:rPr>
          <w:rFonts w:cs="Times New Roman"/>
          <w:bCs/>
          <w:szCs w:val="28"/>
        </w:rPr>
        <w:t>месте</w:t>
      </w:r>
      <w:proofErr w:type="gramEnd"/>
      <w:r w:rsidRPr="00B934EE">
        <w:rPr>
          <w:rFonts w:cs="Times New Roman"/>
          <w:bCs/>
          <w:szCs w:val="28"/>
        </w:rPr>
        <w:t xml:space="preserve"> как в краткосрочной, так и в долгосрочной перспективе и признано самым взаимосвязанным риском второй год подряд, влияя на другие угрозы через снижение социальной мобильности.</w:t>
      </w:r>
    </w:p>
    <w:p w14:paraId="45AC1EE9" w14:textId="77777777" w:rsidR="00B934EE" w:rsidRPr="00B934EE" w:rsidRDefault="00B934EE" w:rsidP="00B934EE">
      <w:pPr>
        <w:spacing w:after="0" w:line="276" w:lineRule="auto"/>
        <w:ind w:firstLine="851"/>
        <w:jc w:val="both"/>
        <w:rPr>
          <w:rFonts w:cs="Times New Roman"/>
          <w:bCs/>
          <w:szCs w:val="28"/>
        </w:rPr>
      </w:pPr>
      <w:r w:rsidRPr="00B934EE">
        <w:rPr>
          <w:rFonts w:cs="Times New Roman"/>
          <w:bCs/>
          <w:szCs w:val="28"/>
        </w:rPr>
        <w:t>Автор подчеркивает, что углубление геополитических и технологических противоречий, а также социальные вызовы формируют новые риски для бизнеса и общества. Нарушения критической инфраструктуры остаются недооценёнными и рассматриваются как «замедленная бомба», поскольку сбои в энергетических сетях и транспортных системах могут вызвать цепную реакцию угроз для экономики и безопасности.</w:t>
      </w:r>
    </w:p>
    <w:p w14:paraId="659F0003" w14:textId="5E0A609D" w:rsidR="00937186" w:rsidRDefault="00B934EE" w:rsidP="00B934EE">
      <w:pPr>
        <w:spacing w:after="0" w:line="276" w:lineRule="auto"/>
        <w:ind w:firstLine="851"/>
        <w:jc w:val="both"/>
        <w:rPr>
          <w:rFonts w:cs="Times New Roman"/>
          <w:bCs/>
          <w:szCs w:val="28"/>
        </w:rPr>
      </w:pPr>
      <w:r w:rsidRPr="00B934EE">
        <w:rPr>
          <w:rFonts w:cs="Times New Roman"/>
          <w:bCs/>
          <w:szCs w:val="28"/>
        </w:rPr>
        <w:t xml:space="preserve">Таким образом, статья показывает рост значимости геоэкономических и технологических рисков, подчёркивает взаимосвязанность угроз и необходимость инвестиций в </w:t>
      </w:r>
      <w:proofErr w:type="gramStart"/>
      <w:r w:rsidRPr="00B934EE">
        <w:rPr>
          <w:rFonts w:cs="Times New Roman"/>
          <w:bCs/>
          <w:szCs w:val="28"/>
        </w:rPr>
        <w:t>устойчивость</w:t>
      </w:r>
      <w:proofErr w:type="gramEnd"/>
      <w:r w:rsidRPr="00B934EE">
        <w:rPr>
          <w:rFonts w:cs="Times New Roman"/>
          <w:bCs/>
          <w:szCs w:val="28"/>
        </w:rPr>
        <w:t xml:space="preserve"> и подготовку критической инфраструктуры для минимизации потенциального ущерба.</w:t>
      </w:r>
    </w:p>
    <w:p w14:paraId="1FD059D2" w14:textId="149B7B68" w:rsidR="00937186" w:rsidRPr="00647287" w:rsidRDefault="00937186" w:rsidP="00937186">
      <w:pPr>
        <w:spacing w:after="0" w:line="276" w:lineRule="auto"/>
        <w:ind w:firstLine="851"/>
        <w:jc w:val="both"/>
        <w:rPr>
          <w:rFonts w:cs="Times New Roman"/>
          <w:bCs/>
          <w:szCs w:val="28"/>
        </w:rPr>
      </w:pPr>
      <w:r w:rsidRPr="00647287">
        <w:rPr>
          <w:rFonts w:cs="Times New Roman"/>
          <w:b/>
          <w:bCs/>
          <w:szCs w:val="28"/>
        </w:rPr>
        <w:t>Источник</w:t>
      </w:r>
      <w:r w:rsidRPr="00647287">
        <w:rPr>
          <w:rFonts w:cs="Times New Roman"/>
          <w:bCs/>
          <w:szCs w:val="28"/>
        </w:rPr>
        <w:t xml:space="preserve">: </w:t>
      </w:r>
      <w:hyperlink r:id="rId18" w:history="1">
        <w:r w:rsidR="00B934EE" w:rsidRPr="00994DB8">
          <w:rPr>
            <w:rStyle w:val="ac"/>
          </w:rPr>
          <w:t>https://www.commercialriskonline.com/geoeconomic-confrontation-rises-to-the-top-in-wef-risk-report/</w:t>
        </w:r>
      </w:hyperlink>
      <w:r w:rsidR="00B934EE">
        <w:t xml:space="preserve"> </w:t>
      </w:r>
    </w:p>
    <w:p w14:paraId="1144D10A" w14:textId="77777777" w:rsidR="00937186" w:rsidRPr="00647287" w:rsidRDefault="00937186" w:rsidP="00D3273B">
      <w:pPr>
        <w:spacing w:after="0" w:line="276" w:lineRule="auto"/>
        <w:ind w:firstLine="851"/>
        <w:jc w:val="both"/>
        <w:rPr>
          <w:rFonts w:cs="Times New Roman"/>
          <w:bCs/>
          <w:szCs w:val="28"/>
        </w:rPr>
      </w:pPr>
      <w:bookmarkStart w:id="10" w:name="_GoBack"/>
      <w:bookmarkEnd w:id="10"/>
    </w:p>
    <w:sectPr w:rsidR="00937186" w:rsidRPr="00647287" w:rsidSect="006C0B77">
      <w:footerReference w:type="default" r:id="rId1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C0581" w14:textId="77777777" w:rsidR="00737ED8" w:rsidRDefault="00737ED8" w:rsidP="008046EE">
      <w:pPr>
        <w:spacing w:after="0"/>
      </w:pPr>
      <w:r>
        <w:separator/>
      </w:r>
    </w:p>
  </w:endnote>
  <w:endnote w:type="continuationSeparator" w:id="0">
    <w:p w14:paraId="6CBD0CA3" w14:textId="77777777" w:rsidR="00737ED8" w:rsidRDefault="00737ED8" w:rsidP="00804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783336"/>
      <w:docPartObj>
        <w:docPartGallery w:val="Page Numbers (Bottom of Page)"/>
        <w:docPartUnique/>
      </w:docPartObj>
    </w:sdtPr>
    <w:sdtEndPr/>
    <w:sdtContent>
      <w:p w14:paraId="220D737F" w14:textId="289B9547" w:rsidR="00F935B5" w:rsidRDefault="00F935B5">
        <w:pPr>
          <w:pStyle w:val="af0"/>
          <w:jc w:val="right"/>
        </w:pPr>
        <w:r>
          <w:fldChar w:fldCharType="begin"/>
        </w:r>
        <w:r>
          <w:instrText>PAGE   \* MERGEFORMAT</w:instrText>
        </w:r>
        <w:r>
          <w:fldChar w:fldCharType="separate"/>
        </w:r>
        <w:r w:rsidR="00B56099">
          <w:rPr>
            <w:noProof/>
          </w:rPr>
          <w:t>1</w:t>
        </w:r>
        <w:r>
          <w:fldChar w:fldCharType="end"/>
        </w:r>
      </w:p>
    </w:sdtContent>
  </w:sdt>
  <w:p w14:paraId="01BC19A4" w14:textId="77777777" w:rsidR="00F935B5" w:rsidRDefault="00F935B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91E9E" w14:textId="77777777" w:rsidR="00737ED8" w:rsidRDefault="00737ED8" w:rsidP="008046EE">
      <w:pPr>
        <w:spacing w:after="0"/>
      </w:pPr>
      <w:r>
        <w:separator/>
      </w:r>
    </w:p>
  </w:footnote>
  <w:footnote w:type="continuationSeparator" w:id="0">
    <w:p w14:paraId="6252E0DD" w14:textId="77777777" w:rsidR="00737ED8" w:rsidRDefault="00737ED8" w:rsidP="008046E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0C1"/>
    <w:multiLevelType w:val="hybridMultilevel"/>
    <w:tmpl w:val="FDD8E59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nsid w:val="12405F46"/>
    <w:multiLevelType w:val="hybridMultilevel"/>
    <w:tmpl w:val="79D8F4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2A845285"/>
    <w:multiLevelType w:val="hybridMultilevel"/>
    <w:tmpl w:val="FDD8E59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4267267B"/>
    <w:multiLevelType w:val="hybridMultilevel"/>
    <w:tmpl w:val="C786D57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46AE35F1"/>
    <w:multiLevelType w:val="hybridMultilevel"/>
    <w:tmpl w:val="15BC47E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62621B4B"/>
    <w:multiLevelType w:val="hybridMultilevel"/>
    <w:tmpl w:val="A2FAEFC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66407654"/>
    <w:multiLevelType w:val="hybridMultilevel"/>
    <w:tmpl w:val="71BA7A0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7">
    <w:nsid w:val="7BD84DB0"/>
    <w:multiLevelType w:val="hybridMultilevel"/>
    <w:tmpl w:val="35927D8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FD"/>
    <w:rsid w:val="0002272D"/>
    <w:rsid w:val="000907B6"/>
    <w:rsid w:val="00090DEF"/>
    <w:rsid w:val="000B6B76"/>
    <w:rsid w:val="000D5F0E"/>
    <w:rsid w:val="000E2AF2"/>
    <w:rsid w:val="000F32C1"/>
    <w:rsid w:val="000F5AD9"/>
    <w:rsid w:val="0011035C"/>
    <w:rsid w:val="00113149"/>
    <w:rsid w:val="001164C3"/>
    <w:rsid w:val="00132FE8"/>
    <w:rsid w:val="00150D79"/>
    <w:rsid w:val="0015763D"/>
    <w:rsid w:val="00191FCA"/>
    <w:rsid w:val="001A0AA5"/>
    <w:rsid w:val="001C4776"/>
    <w:rsid w:val="001E491B"/>
    <w:rsid w:val="00253BFB"/>
    <w:rsid w:val="00262691"/>
    <w:rsid w:val="00264FB0"/>
    <w:rsid w:val="00267F3A"/>
    <w:rsid w:val="00274296"/>
    <w:rsid w:val="00280B99"/>
    <w:rsid w:val="00285260"/>
    <w:rsid w:val="002A13EB"/>
    <w:rsid w:val="002E6B38"/>
    <w:rsid w:val="003234E7"/>
    <w:rsid w:val="00340C29"/>
    <w:rsid w:val="00390C49"/>
    <w:rsid w:val="00393C89"/>
    <w:rsid w:val="003E1F1D"/>
    <w:rsid w:val="00444F2C"/>
    <w:rsid w:val="00462D99"/>
    <w:rsid w:val="0046475A"/>
    <w:rsid w:val="00486DFB"/>
    <w:rsid w:val="004A478B"/>
    <w:rsid w:val="004B23C7"/>
    <w:rsid w:val="004C5EE3"/>
    <w:rsid w:val="004F5269"/>
    <w:rsid w:val="005100A7"/>
    <w:rsid w:val="00523303"/>
    <w:rsid w:val="00545EA1"/>
    <w:rsid w:val="00576F46"/>
    <w:rsid w:val="005868CB"/>
    <w:rsid w:val="00624E2C"/>
    <w:rsid w:val="00647287"/>
    <w:rsid w:val="006A07CC"/>
    <w:rsid w:val="006B0CEC"/>
    <w:rsid w:val="006C0B77"/>
    <w:rsid w:val="006D36AE"/>
    <w:rsid w:val="006E0E24"/>
    <w:rsid w:val="006F16EA"/>
    <w:rsid w:val="00737ED8"/>
    <w:rsid w:val="00747473"/>
    <w:rsid w:val="00772596"/>
    <w:rsid w:val="00790FA4"/>
    <w:rsid w:val="007A542A"/>
    <w:rsid w:val="007B7032"/>
    <w:rsid w:val="007D7516"/>
    <w:rsid w:val="007E7CDD"/>
    <w:rsid w:val="007F392C"/>
    <w:rsid w:val="008046EE"/>
    <w:rsid w:val="00816BAC"/>
    <w:rsid w:val="008242FF"/>
    <w:rsid w:val="00825734"/>
    <w:rsid w:val="00862A48"/>
    <w:rsid w:val="00870751"/>
    <w:rsid w:val="00874202"/>
    <w:rsid w:val="00875CEC"/>
    <w:rsid w:val="0088578D"/>
    <w:rsid w:val="008F1885"/>
    <w:rsid w:val="008F2F3E"/>
    <w:rsid w:val="00916D70"/>
    <w:rsid w:val="00922C48"/>
    <w:rsid w:val="00937186"/>
    <w:rsid w:val="009850D6"/>
    <w:rsid w:val="009C5ED7"/>
    <w:rsid w:val="00A15A7D"/>
    <w:rsid w:val="00A4169F"/>
    <w:rsid w:val="00A62E2F"/>
    <w:rsid w:val="00A67C7F"/>
    <w:rsid w:val="00A71B34"/>
    <w:rsid w:val="00A85ECA"/>
    <w:rsid w:val="00AC02B2"/>
    <w:rsid w:val="00AC47FD"/>
    <w:rsid w:val="00B37E11"/>
    <w:rsid w:val="00B56099"/>
    <w:rsid w:val="00B722D4"/>
    <w:rsid w:val="00B915B7"/>
    <w:rsid w:val="00B934EE"/>
    <w:rsid w:val="00BA5D7C"/>
    <w:rsid w:val="00BC0123"/>
    <w:rsid w:val="00BD5773"/>
    <w:rsid w:val="00BE04AC"/>
    <w:rsid w:val="00BE7215"/>
    <w:rsid w:val="00C13EE3"/>
    <w:rsid w:val="00C17B45"/>
    <w:rsid w:val="00C85747"/>
    <w:rsid w:val="00CA2B6C"/>
    <w:rsid w:val="00CB69F2"/>
    <w:rsid w:val="00CC7A4F"/>
    <w:rsid w:val="00CE4783"/>
    <w:rsid w:val="00CF4837"/>
    <w:rsid w:val="00D1148D"/>
    <w:rsid w:val="00D3273B"/>
    <w:rsid w:val="00D427B2"/>
    <w:rsid w:val="00D67718"/>
    <w:rsid w:val="00D70B19"/>
    <w:rsid w:val="00D97181"/>
    <w:rsid w:val="00E20E50"/>
    <w:rsid w:val="00E2202B"/>
    <w:rsid w:val="00E319DC"/>
    <w:rsid w:val="00E37DC4"/>
    <w:rsid w:val="00E452FD"/>
    <w:rsid w:val="00E53AAB"/>
    <w:rsid w:val="00EA59DF"/>
    <w:rsid w:val="00EA67A0"/>
    <w:rsid w:val="00EA7693"/>
    <w:rsid w:val="00ED0259"/>
    <w:rsid w:val="00EE4070"/>
    <w:rsid w:val="00EF073F"/>
    <w:rsid w:val="00F12C76"/>
    <w:rsid w:val="00F160C9"/>
    <w:rsid w:val="00F41C30"/>
    <w:rsid w:val="00F62147"/>
    <w:rsid w:val="00F8584C"/>
    <w:rsid w:val="00F93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C47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C47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C47F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C47F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C47F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C47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C47F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C47F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C47F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7F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C47F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C47F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C47F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C47F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C47F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C47F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C47F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C47FD"/>
    <w:rPr>
      <w:rFonts w:eastAsiaTheme="majorEastAsia" w:cstheme="majorBidi"/>
      <w:color w:val="272727" w:themeColor="text1" w:themeTint="D8"/>
      <w:sz w:val="28"/>
    </w:rPr>
  </w:style>
  <w:style w:type="paragraph" w:styleId="a3">
    <w:name w:val="Title"/>
    <w:basedOn w:val="a"/>
    <w:next w:val="a"/>
    <w:link w:val="a4"/>
    <w:uiPriority w:val="10"/>
    <w:qFormat/>
    <w:rsid w:val="00AC47F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C47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7F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C47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47FD"/>
    <w:pPr>
      <w:spacing w:before="160"/>
      <w:jc w:val="center"/>
    </w:pPr>
    <w:rPr>
      <w:i/>
      <w:iCs/>
      <w:color w:val="404040" w:themeColor="text1" w:themeTint="BF"/>
    </w:rPr>
  </w:style>
  <w:style w:type="character" w:customStyle="1" w:styleId="22">
    <w:name w:val="Цитата 2 Знак"/>
    <w:basedOn w:val="a0"/>
    <w:link w:val="21"/>
    <w:uiPriority w:val="29"/>
    <w:rsid w:val="00AC47FD"/>
    <w:rPr>
      <w:rFonts w:ascii="Times New Roman" w:hAnsi="Times New Roman"/>
      <w:i/>
      <w:iCs/>
      <w:color w:val="404040" w:themeColor="text1" w:themeTint="BF"/>
      <w:sz w:val="28"/>
    </w:rPr>
  </w:style>
  <w:style w:type="paragraph" w:styleId="a7">
    <w:name w:val="List Paragraph"/>
    <w:basedOn w:val="a"/>
    <w:uiPriority w:val="34"/>
    <w:qFormat/>
    <w:rsid w:val="00AC47FD"/>
    <w:pPr>
      <w:ind w:left="720"/>
      <w:contextualSpacing/>
    </w:pPr>
  </w:style>
  <w:style w:type="character" w:styleId="a8">
    <w:name w:val="Intense Emphasis"/>
    <w:basedOn w:val="a0"/>
    <w:uiPriority w:val="21"/>
    <w:qFormat/>
    <w:rsid w:val="00AC47FD"/>
    <w:rPr>
      <w:i/>
      <w:iCs/>
      <w:color w:val="2E74B5" w:themeColor="accent1" w:themeShade="BF"/>
    </w:rPr>
  </w:style>
  <w:style w:type="paragraph" w:styleId="a9">
    <w:name w:val="Intense Quote"/>
    <w:basedOn w:val="a"/>
    <w:next w:val="a"/>
    <w:link w:val="aa"/>
    <w:uiPriority w:val="30"/>
    <w:qFormat/>
    <w:rsid w:val="00AC47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C47FD"/>
    <w:rPr>
      <w:rFonts w:ascii="Times New Roman" w:hAnsi="Times New Roman"/>
      <w:i/>
      <w:iCs/>
      <w:color w:val="2E74B5" w:themeColor="accent1" w:themeShade="BF"/>
      <w:sz w:val="28"/>
    </w:rPr>
  </w:style>
  <w:style w:type="character" w:styleId="ab">
    <w:name w:val="Intense Reference"/>
    <w:basedOn w:val="a0"/>
    <w:uiPriority w:val="32"/>
    <w:qFormat/>
    <w:rsid w:val="00AC47FD"/>
    <w:rPr>
      <w:b/>
      <w:bCs/>
      <w:smallCaps/>
      <w:color w:val="2E74B5" w:themeColor="accent1" w:themeShade="BF"/>
      <w:spacing w:val="5"/>
    </w:rPr>
  </w:style>
  <w:style w:type="character" w:styleId="ac">
    <w:name w:val="Hyperlink"/>
    <w:basedOn w:val="a0"/>
    <w:uiPriority w:val="99"/>
    <w:unhideWhenUsed/>
    <w:rsid w:val="00AC47FD"/>
    <w:rPr>
      <w:color w:val="0563C1" w:themeColor="hyperlink"/>
      <w:u w:val="single"/>
    </w:rPr>
  </w:style>
  <w:style w:type="character" w:customStyle="1" w:styleId="11">
    <w:name w:val="Неразрешенное упоминание1"/>
    <w:basedOn w:val="a0"/>
    <w:uiPriority w:val="99"/>
    <w:semiHidden/>
    <w:unhideWhenUsed/>
    <w:rsid w:val="00AC47FD"/>
    <w:rPr>
      <w:color w:val="605E5C"/>
      <w:shd w:val="clear" w:color="auto" w:fill="E1DFDD"/>
    </w:rPr>
  </w:style>
  <w:style w:type="character" w:styleId="ad">
    <w:name w:val="FollowedHyperlink"/>
    <w:basedOn w:val="a0"/>
    <w:uiPriority w:val="99"/>
    <w:semiHidden/>
    <w:unhideWhenUsed/>
    <w:rsid w:val="00AC47FD"/>
    <w:rPr>
      <w:color w:val="954F72" w:themeColor="followedHyperlink"/>
      <w:u w:val="single"/>
    </w:rPr>
  </w:style>
  <w:style w:type="paragraph" w:styleId="ae">
    <w:name w:val="header"/>
    <w:basedOn w:val="a"/>
    <w:link w:val="af"/>
    <w:uiPriority w:val="99"/>
    <w:unhideWhenUsed/>
    <w:rsid w:val="008046EE"/>
    <w:pPr>
      <w:tabs>
        <w:tab w:val="center" w:pos="4677"/>
        <w:tab w:val="right" w:pos="9355"/>
      </w:tabs>
      <w:spacing w:after="0"/>
    </w:pPr>
  </w:style>
  <w:style w:type="character" w:customStyle="1" w:styleId="af">
    <w:name w:val="Верхний колонтитул Знак"/>
    <w:basedOn w:val="a0"/>
    <w:link w:val="ae"/>
    <w:uiPriority w:val="99"/>
    <w:rsid w:val="008046EE"/>
    <w:rPr>
      <w:rFonts w:ascii="Times New Roman" w:hAnsi="Times New Roman"/>
      <w:sz w:val="28"/>
    </w:rPr>
  </w:style>
  <w:style w:type="paragraph" w:styleId="af0">
    <w:name w:val="footer"/>
    <w:basedOn w:val="a"/>
    <w:link w:val="af1"/>
    <w:uiPriority w:val="99"/>
    <w:unhideWhenUsed/>
    <w:rsid w:val="008046EE"/>
    <w:pPr>
      <w:tabs>
        <w:tab w:val="center" w:pos="4677"/>
        <w:tab w:val="right" w:pos="9355"/>
      </w:tabs>
      <w:spacing w:after="0"/>
    </w:pPr>
  </w:style>
  <w:style w:type="character" w:customStyle="1" w:styleId="af1">
    <w:name w:val="Нижний колонтитул Знак"/>
    <w:basedOn w:val="a0"/>
    <w:link w:val="af0"/>
    <w:uiPriority w:val="99"/>
    <w:rsid w:val="008046EE"/>
    <w:rPr>
      <w:rFonts w:ascii="Times New Roman" w:hAnsi="Times New Roman"/>
      <w:sz w:val="28"/>
    </w:rPr>
  </w:style>
  <w:style w:type="character" w:customStyle="1" w:styleId="UnresolvedMention">
    <w:name w:val="Unresolved Mention"/>
    <w:basedOn w:val="a0"/>
    <w:uiPriority w:val="99"/>
    <w:semiHidden/>
    <w:unhideWhenUsed/>
    <w:rsid w:val="0011035C"/>
    <w:rPr>
      <w:color w:val="605E5C"/>
      <w:shd w:val="clear" w:color="auto" w:fill="E1DFDD"/>
    </w:rPr>
  </w:style>
  <w:style w:type="paragraph" w:styleId="af2">
    <w:name w:val="TOC Heading"/>
    <w:basedOn w:val="1"/>
    <w:next w:val="a"/>
    <w:uiPriority w:val="39"/>
    <w:unhideWhenUsed/>
    <w:qFormat/>
    <w:rsid w:val="00274296"/>
    <w:pPr>
      <w:spacing w:before="240" w:after="0" w:line="259" w:lineRule="auto"/>
      <w:outlineLvl w:val="9"/>
    </w:pPr>
    <w:rPr>
      <w:kern w:val="0"/>
      <w:sz w:val="32"/>
      <w:szCs w:val="32"/>
      <w:lang w:eastAsia="ru-RU"/>
      <w14:ligatures w14:val="none"/>
    </w:rPr>
  </w:style>
  <w:style w:type="paragraph" w:styleId="12">
    <w:name w:val="toc 1"/>
    <w:basedOn w:val="a"/>
    <w:next w:val="a"/>
    <w:autoRedefine/>
    <w:uiPriority w:val="39"/>
    <w:unhideWhenUsed/>
    <w:rsid w:val="00274296"/>
    <w:pPr>
      <w:spacing w:after="100"/>
    </w:pPr>
  </w:style>
  <w:style w:type="paragraph" w:styleId="af3">
    <w:name w:val="footnote text"/>
    <w:basedOn w:val="a"/>
    <w:link w:val="af4"/>
    <w:uiPriority w:val="99"/>
    <w:semiHidden/>
    <w:unhideWhenUsed/>
    <w:rsid w:val="00ED0259"/>
    <w:pPr>
      <w:spacing w:after="0"/>
    </w:pPr>
    <w:rPr>
      <w:sz w:val="20"/>
      <w:szCs w:val="20"/>
    </w:rPr>
  </w:style>
  <w:style w:type="character" w:customStyle="1" w:styleId="af4">
    <w:name w:val="Текст сноски Знак"/>
    <w:basedOn w:val="a0"/>
    <w:link w:val="af3"/>
    <w:uiPriority w:val="99"/>
    <w:semiHidden/>
    <w:rsid w:val="00ED0259"/>
    <w:rPr>
      <w:rFonts w:ascii="Times New Roman" w:hAnsi="Times New Roman"/>
      <w:sz w:val="20"/>
      <w:szCs w:val="20"/>
    </w:rPr>
  </w:style>
  <w:style w:type="character" w:styleId="af5">
    <w:name w:val="footnote reference"/>
    <w:basedOn w:val="a0"/>
    <w:uiPriority w:val="99"/>
    <w:semiHidden/>
    <w:unhideWhenUsed/>
    <w:rsid w:val="00ED0259"/>
    <w:rPr>
      <w:vertAlign w:val="superscript"/>
    </w:rPr>
  </w:style>
  <w:style w:type="paragraph" w:styleId="af6">
    <w:name w:val="Balloon Text"/>
    <w:basedOn w:val="a"/>
    <w:link w:val="af7"/>
    <w:uiPriority w:val="99"/>
    <w:semiHidden/>
    <w:unhideWhenUsed/>
    <w:rsid w:val="00390C49"/>
    <w:pPr>
      <w:spacing w:after="0"/>
    </w:pPr>
    <w:rPr>
      <w:rFonts w:ascii="Tahoma" w:hAnsi="Tahoma" w:cs="Tahoma"/>
      <w:sz w:val="16"/>
      <w:szCs w:val="16"/>
    </w:rPr>
  </w:style>
  <w:style w:type="character" w:customStyle="1" w:styleId="af7">
    <w:name w:val="Текст выноски Знак"/>
    <w:basedOn w:val="a0"/>
    <w:link w:val="af6"/>
    <w:uiPriority w:val="99"/>
    <w:semiHidden/>
    <w:rsid w:val="00390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C47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C47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C47F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C47F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C47F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C47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C47F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C47F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C47F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7F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C47F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C47F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C47F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C47F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C47F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C47F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C47F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C47FD"/>
    <w:rPr>
      <w:rFonts w:eastAsiaTheme="majorEastAsia" w:cstheme="majorBidi"/>
      <w:color w:val="272727" w:themeColor="text1" w:themeTint="D8"/>
      <w:sz w:val="28"/>
    </w:rPr>
  </w:style>
  <w:style w:type="paragraph" w:styleId="a3">
    <w:name w:val="Title"/>
    <w:basedOn w:val="a"/>
    <w:next w:val="a"/>
    <w:link w:val="a4"/>
    <w:uiPriority w:val="10"/>
    <w:qFormat/>
    <w:rsid w:val="00AC47F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C47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7F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C47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47FD"/>
    <w:pPr>
      <w:spacing w:before="160"/>
      <w:jc w:val="center"/>
    </w:pPr>
    <w:rPr>
      <w:i/>
      <w:iCs/>
      <w:color w:val="404040" w:themeColor="text1" w:themeTint="BF"/>
    </w:rPr>
  </w:style>
  <w:style w:type="character" w:customStyle="1" w:styleId="22">
    <w:name w:val="Цитата 2 Знак"/>
    <w:basedOn w:val="a0"/>
    <w:link w:val="21"/>
    <w:uiPriority w:val="29"/>
    <w:rsid w:val="00AC47FD"/>
    <w:rPr>
      <w:rFonts w:ascii="Times New Roman" w:hAnsi="Times New Roman"/>
      <w:i/>
      <w:iCs/>
      <w:color w:val="404040" w:themeColor="text1" w:themeTint="BF"/>
      <w:sz w:val="28"/>
    </w:rPr>
  </w:style>
  <w:style w:type="paragraph" w:styleId="a7">
    <w:name w:val="List Paragraph"/>
    <w:basedOn w:val="a"/>
    <w:uiPriority w:val="34"/>
    <w:qFormat/>
    <w:rsid w:val="00AC47FD"/>
    <w:pPr>
      <w:ind w:left="720"/>
      <w:contextualSpacing/>
    </w:pPr>
  </w:style>
  <w:style w:type="character" w:styleId="a8">
    <w:name w:val="Intense Emphasis"/>
    <w:basedOn w:val="a0"/>
    <w:uiPriority w:val="21"/>
    <w:qFormat/>
    <w:rsid w:val="00AC47FD"/>
    <w:rPr>
      <w:i/>
      <w:iCs/>
      <w:color w:val="2E74B5" w:themeColor="accent1" w:themeShade="BF"/>
    </w:rPr>
  </w:style>
  <w:style w:type="paragraph" w:styleId="a9">
    <w:name w:val="Intense Quote"/>
    <w:basedOn w:val="a"/>
    <w:next w:val="a"/>
    <w:link w:val="aa"/>
    <w:uiPriority w:val="30"/>
    <w:qFormat/>
    <w:rsid w:val="00AC47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C47FD"/>
    <w:rPr>
      <w:rFonts w:ascii="Times New Roman" w:hAnsi="Times New Roman"/>
      <w:i/>
      <w:iCs/>
      <w:color w:val="2E74B5" w:themeColor="accent1" w:themeShade="BF"/>
      <w:sz w:val="28"/>
    </w:rPr>
  </w:style>
  <w:style w:type="character" w:styleId="ab">
    <w:name w:val="Intense Reference"/>
    <w:basedOn w:val="a0"/>
    <w:uiPriority w:val="32"/>
    <w:qFormat/>
    <w:rsid w:val="00AC47FD"/>
    <w:rPr>
      <w:b/>
      <w:bCs/>
      <w:smallCaps/>
      <w:color w:val="2E74B5" w:themeColor="accent1" w:themeShade="BF"/>
      <w:spacing w:val="5"/>
    </w:rPr>
  </w:style>
  <w:style w:type="character" w:styleId="ac">
    <w:name w:val="Hyperlink"/>
    <w:basedOn w:val="a0"/>
    <w:uiPriority w:val="99"/>
    <w:unhideWhenUsed/>
    <w:rsid w:val="00AC47FD"/>
    <w:rPr>
      <w:color w:val="0563C1" w:themeColor="hyperlink"/>
      <w:u w:val="single"/>
    </w:rPr>
  </w:style>
  <w:style w:type="character" w:customStyle="1" w:styleId="11">
    <w:name w:val="Неразрешенное упоминание1"/>
    <w:basedOn w:val="a0"/>
    <w:uiPriority w:val="99"/>
    <w:semiHidden/>
    <w:unhideWhenUsed/>
    <w:rsid w:val="00AC47FD"/>
    <w:rPr>
      <w:color w:val="605E5C"/>
      <w:shd w:val="clear" w:color="auto" w:fill="E1DFDD"/>
    </w:rPr>
  </w:style>
  <w:style w:type="character" w:styleId="ad">
    <w:name w:val="FollowedHyperlink"/>
    <w:basedOn w:val="a0"/>
    <w:uiPriority w:val="99"/>
    <w:semiHidden/>
    <w:unhideWhenUsed/>
    <w:rsid w:val="00AC47FD"/>
    <w:rPr>
      <w:color w:val="954F72" w:themeColor="followedHyperlink"/>
      <w:u w:val="single"/>
    </w:rPr>
  </w:style>
  <w:style w:type="paragraph" w:styleId="ae">
    <w:name w:val="header"/>
    <w:basedOn w:val="a"/>
    <w:link w:val="af"/>
    <w:uiPriority w:val="99"/>
    <w:unhideWhenUsed/>
    <w:rsid w:val="008046EE"/>
    <w:pPr>
      <w:tabs>
        <w:tab w:val="center" w:pos="4677"/>
        <w:tab w:val="right" w:pos="9355"/>
      </w:tabs>
      <w:spacing w:after="0"/>
    </w:pPr>
  </w:style>
  <w:style w:type="character" w:customStyle="1" w:styleId="af">
    <w:name w:val="Верхний колонтитул Знак"/>
    <w:basedOn w:val="a0"/>
    <w:link w:val="ae"/>
    <w:uiPriority w:val="99"/>
    <w:rsid w:val="008046EE"/>
    <w:rPr>
      <w:rFonts w:ascii="Times New Roman" w:hAnsi="Times New Roman"/>
      <w:sz w:val="28"/>
    </w:rPr>
  </w:style>
  <w:style w:type="paragraph" w:styleId="af0">
    <w:name w:val="footer"/>
    <w:basedOn w:val="a"/>
    <w:link w:val="af1"/>
    <w:uiPriority w:val="99"/>
    <w:unhideWhenUsed/>
    <w:rsid w:val="008046EE"/>
    <w:pPr>
      <w:tabs>
        <w:tab w:val="center" w:pos="4677"/>
        <w:tab w:val="right" w:pos="9355"/>
      </w:tabs>
      <w:spacing w:after="0"/>
    </w:pPr>
  </w:style>
  <w:style w:type="character" w:customStyle="1" w:styleId="af1">
    <w:name w:val="Нижний колонтитул Знак"/>
    <w:basedOn w:val="a0"/>
    <w:link w:val="af0"/>
    <w:uiPriority w:val="99"/>
    <w:rsid w:val="008046EE"/>
    <w:rPr>
      <w:rFonts w:ascii="Times New Roman" w:hAnsi="Times New Roman"/>
      <w:sz w:val="28"/>
    </w:rPr>
  </w:style>
  <w:style w:type="character" w:customStyle="1" w:styleId="UnresolvedMention">
    <w:name w:val="Unresolved Mention"/>
    <w:basedOn w:val="a0"/>
    <w:uiPriority w:val="99"/>
    <w:semiHidden/>
    <w:unhideWhenUsed/>
    <w:rsid w:val="0011035C"/>
    <w:rPr>
      <w:color w:val="605E5C"/>
      <w:shd w:val="clear" w:color="auto" w:fill="E1DFDD"/>
    </w:rPr>
  </w:style>
  <w:style w:type="paragraph" w:styleId="af2">
    <w:name w:val="TOC Heading"/>
    <w:basedOn w:val="1"/>
    <w:next w:val="a"/>
    <w:uiPriority w:val="39"/>
    <w:unhideWhenUsed/>
    <w:qFormat/>
    <w:rsid w:val="00274296"/>
    <w:pPr>
      <w:spacing w:before="240" w:after="0" w:line="259" w:lineRule="auto"/>
      <w:outlineLvl w:val="9"/>
    </w:pPr>
    <w:rPr>
      <w:kern w:val="0"/>
      <w:sz w:val="32"/>
      <w:szCs w:val="32"/>
      <w:lang w:eastAsia="ru-RU"/>
      <w14:ligatures w14:val="none"/>
    </w:rPr>
  </w:style>
  <w:style w:type="paragraph" w:styleId="12">
    <w:name w:val="toc 1"/>
    <w:basedOn w:val="a"/>
    <w:next w:val="a"/>
    <w:autoRedefine/>
    <w:uiPriority w:val="39"/>
    <w:unhideWhenUsed/>
    <w:rsid w:val="00274296"/>
    <w:pPr>
      <w:spacing w:after="100"/>
    </w:pPr>
  </w:style>
  <w:style w:type="paragraph" w:styleId="af3">
    <w:name w:val="footnote text"/>
    <w:basedOn w:val="a"/>
    <w:link w:val="af4"/>
    <w:uiPriority w:val="99"/>
    <w:semiHidden/>
    <w:unhideWhenUsed/>
    <w:rsid w:val="00ED0259"/>
    <w:pPr>
      <w:spacing w:after="0"/>
    </w:pPr>
    <w:rPr>
      <w:sz w:val="20"/>
      <w:szCs w:val="20"/>
    </w:rPr>
  </w:style>
  <w:style w:type="character" w:customStyle="1" w:styleId="af4">
    <w:name w:val="Текст сноски Знак"/>
    <w:basedOn w:val="a0"/>
    <w:link w:val="af3"/>
    <w:uiPriority w:val="99"/>
    <w:semiHidden/>
    <w:rsid w:val="00ED0259"/>
    <w:rPr>
      <w:rFonts w:ascii="Times New Roman" w:hAnsi="Times New Roman"/>
      <w:sz w:val="20"/>
      <w:szCs w:val="20"/>
    </w:rPr>
  </w:style>
  <w:style w:type="character" w:styleId="af5">
    <w:name w:val="footnote reference"/>
    <w:basedOn w:val="a0"/>
    <w:uiPriority w:val="99"/>
    <w:semiHidden/>
    <w:unhideWhenUsed/>
    <w:rsid w:val="00ED0259"/>
    <w:rPr>
      <w:vertAlign w:val="superscript"/>
    </w:rPr>
  </w:style>
  <w:style w:type="paragraph" w:styleId="af6">
    <w:name w:val="Balloon Text"/>
    <w:basedOn w:val="a"/>
    <w:link w:val="af7"/>
    <w:uiPriority w:val="99"/>
    <w:semiHidden/>
    <w:unhideWhenUsed/>
    <w:rsid w:val="00390C49"/>
    <w:pPr>
      <w:spacing w:after="0"/>
    </w:pPr>
    <w:rPr>
      <w:rFonts w:ascii="Tahoma" w:hAnsi="Tahoma" w:cs="Tahoma"/>
      <w:sz w:val="16"/>
      <w:szCs w:val="16"/>
    </w:rPr>
  </w:style>
  <w:style w:type="character" w:customStyle="1" w:styleId="af7">
    <w:name w:val="Текст выноски Знак"/>
    <w:basedOn w:val="a0"/>
    <w:link w:val="af6"/>
    <w:uiPriority w:val="99"/>
    <w:semiHidden/>
    <w:rsid w:val="00390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mmercialriskonline.com/risk-appetite-key-to-coverage-decisions-as-market-softens-say-swiss-buyers/" TargetMode="External"/><Relationship Id="rId18" Type="http://schemas.openxmlformats.org/officeDocument/2006/relationships/hyperlink" Target="https://www.commercialriskonline.com/geoeconomic-confrontation-rises-to-the-top-in-wef-risk-repor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ommercialriskonline.com/global-programmes-as-relevant-as-ever-in-a-fragmented-world/" TargetMode="External"/><Relationship Id="rId17" Type="http://schemas.openxmlformats.org/officeDocument/2006/relationships/hyperlink" Target="https://www.commercialriskonline.com/dos-face-heightened-risk-of-claims-in-2026-warns-allianz-commercial/" TargetMode="External"/><Relationship Id="rId2" Type="http://schemas.openxmlformats.org/officeDocument/2006/relationships/numbering" Target="numbering.xml"/><Relationship Id="rId16" Type="http://schemas.openxmlformats.org/officeDocument/2006/relationships/hyperlink" Target="https://www.commercialriskonline.com/insurers-seek-to-pull-ai-liability-cov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mercialriskonline.com/positive-correlation-between-sustainability-reporting-and-financial-performance/" TargetMode="External"/><Relationship Id="rId5" Type="http://schemas.openxmlformats.org/officeDocument/2006/relationships/settings" Target="settings.xml"/><Relationship Id="rId15" Type="http://schemas.openxmlformats.org/officeDocument/2006/relationships/hyperlink" Target="https://www.commercialriskonline.com/european-parliament-and-council-agree-on-csrd-and-csddd-cuts/" TargetMode="External"/><Relationship Id="rId10" Type="http://schemas.openxmlformats.org/officeDocument/2006/relationships/hyperlink" Target="https://www.commercialriskonline.com/eu-sets-target-of-90-reduction-in-net-greenhouse-gas-emissions-for-204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ommercialriskonline.com/emea-firms-lagging-global-partners-on-insurance-analytics/" TargetMode="External"/><Relationship Id="rId14" Type="http://schemas.openxmlformats.org/officeDocument/2006/relationships/hyperlink" Target="https://www.commercialriskonline.com/london-market-calls-on-regulator-to-move-faster-on-insurance-refor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96EB-EB67-4034-904D-14350A8B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5161</Words>
  <Characters>29420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tjf gfjf</dc:creator>
  <cp:lastModifiedBy>Виктор</cp:lastModifiedBy>
  <cp:revision>4</cp:revision>
  <cp:lastPrinted>2026-02-19T10:40:00Z</cp:lastPrinted>
  <dcterms:created xsi:type="dcterms:W3CDTF">2026-02-18T21:33:00Z</dcterms:created>
  <dcterms:modified xsi:type="dcterms:W3CDTF">2026-02-19T10:44:00Z</dcterms:modified>
</cp:coreProperties>
</file>