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F0" w:rsidRDefault="00B07327">
      <w:pPr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последнее время сфера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киберстрахования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США стала объектом пристальных наблюдений: рейтинговое агентство 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считает, что страховщики готовы найти потенциальные решения</w:t>
      </w:r>
    </w:p>
    <w:p w:rsidR="002945F0" w:rsidRDefault="00B073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европейском рынке будет наблюдаться стабильность и в дальнейшем, однако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ожидается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снижение ставок на рынке страхования произойдет во второй половине 2024 года</w:t>
      </w:r>
    </w:p>
    <w:p w:rsidR="002945F0" w:rsidRDefault="00B073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Латинской Америке и Азии наблюдается значительный рост числа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риск-менеджеров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поскольку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страхование становится инструментом ведения бизнеса</w:t>
      </w:r>
    </w:p>
    <w:p w:rsidR="002945F0" w:rsidRDefault="00B073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 принимает меры для разрушения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бизнес-модели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принудительного труда: Совет ЕС и парламент сосредоточились на создании закона о запрете использования принудительного труда</w:t>
      </w:r>
    </w:p>
    <w:p w:rsidR="002945F0" w:rsidRDefault="00B073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добивается создания в Итали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компаний-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а опыт Франции может помочь проложить путь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Европе</w:t>
      </w:r>
    </w:p>
    <w:p w:rsidR="002945F0" w:rsidRDefault="00B073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Риск-менеджеры обязаны следить за соблюдением компаниями углеродной нейтральности, считает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Airmic</w:t>
      </w:r>
      <w:proofErr w:type="spellEnd"/>
      <w:proofErr w:type="gramEnd"/>
    </w:p>
    <w:p w:rsidR="002945F0" w:rsidRDefault="00B0732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Комплексный глобальный ландшафт рисков знаменует конец «отдохновения от исторических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потрясений»</w:t>
      </w:r>
    </w:p>
    <w:p w:rsidR="002945F0" w:rsidRDefault="00B0732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Европы ужесточает уголовные санкции за экологические преступления</w:t>
      </w:r>
    </w:p>
    <w:p w:rsidR="002945F0" w:rsidRDefault="00B0732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Исследование, проведённое WTW, показало: профессиональные риски в сфере охраны труда и здоровья приобрели «непредвиденную» значимость для генеральных директоров и должностн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 лиц во всём мире</w:t>
      </w:r>
    </w:p>
    <w:p w:rsidR="002945F0" w:rsidRDefault="00B0732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заверениям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компании должны ускорить переход к системе стратегического управления рисками в условиях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поликризиса</w:t>
      </w:r>
      <w:proofErr w:type="spellEnd"/>
    </w:p>
    <w:p w:rsidR="002945F0" w:rsidRDefault="00B0732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Французская аэрокосмическая группа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Safran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инициирует план по репатриации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люксембургского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кэптива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45F0" w:rsidRDefault="00B07327">
      <w:pPr>
        <w:numPr>
          <w:ilvl w:val="0"/>
          <w:numId w:val="1"/>
        </w:num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сохраняет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«бдительность», поскольку CSDDD проходит очередной этап проверки </w:t>
      </w:r>
    </w:p>
    <w:p w:rsidR="002945F0" w:rsidRDefault="002945F0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5F0" w:rsidRDefault="002945F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2945F0" w:rsidRDefault="00B07327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последнее время сфера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киберстрахования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США стала объектом пристальных наблюдений: рейтинговое агентство 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считает, что страховщики готовы найти потенциальные решения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время обсуждается вопрос о создании в США механизма поддержки сферы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киберстрахования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будет направлен на развитие конкуренции и инноваций на рынке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киберстрахования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Администрация Президента США поручила Казначейству США оценить необходимость феде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рального страхования на случай катастрофических последствий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этой связи планируется провести конференцию для изучения возможных механизмов предотвращения проблемы. Хотя решение еще не принято, эксперты отрасли считают, что хорошо продуманная 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едеральная поддержка могла бы защитить бизнес и поддержать рост рынка. Однако сохраняется опасение, что вмешательство государства может ограничить выход на рынок частных страховых компаний. Несмотря на неопределенность, страховая отрасль с осторожным оптим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измом смотрит на потенциальные преимущества федерального механизма поддержки в борьбе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киберрисками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стимулировании рынка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киберстрахования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долгосрочной перспективе.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Источник: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 xml:space="preserve">https://www.commercialriskonline.com/us-cyber-backstop-gathers-momentum/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14.0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3.24</w:t>
      </w:r>
    </w:p>
    <w:p w:rsidR="002945F0" w:rsidRDefault="00B07327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европейском рынке будет наблюдаться стабильность и в дальнейшем, однако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ожидается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снижение ставок на рынке страхования произойдет во второй половине 2024 года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Европейские потребители страховых услуг ожидают дальнейшей стабилизации рынка с возмо</w:t>
      </w:r>
      <w:r>
        <w:rPr>
          <w:rFonts w:ascii="Times New Roman" w:eastAsia="Times New Roman" w:hAnsi="Times New Roman" w:cs="Times New Roman"/>
          <w:sz w:val="24"/>
          <w:szCs w:val="24"/>
        </w:rPr>
        <w:t>жным снижением ставок страхования по некоторым видам рисков во второй половине 2024 года. Несмотря на смягчение ситуации на рынке перестрахования, сохраняются опасения по поводу «эффекта домино». В последнем квартале 2023 года страховые тарифы в коммерческ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секторе в Европе выросли на 4%, превысив среднемировой показатель в 2%. По прогнозам, страховщики нацелены на сохранение тенденции роста ставок, однако ожидается, что ситуация на рынке стабилизируется. В экономиках Европы наблюдаются различные рыночные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условия: на одних ранках - стабильность, на других – повышенная волатильность. В целом европейский страховой рынок выглядит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конкурентноспособным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стабильным.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Источник: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https://www.commercialriskonline.com/european-market-to-stabilise-further-with-rate-decreases-on-the-cards-in-h2/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05.03.24</w:t>
      </w:r>
    </w:p>
    <w:p w:rsidR="002945F0" w:rsidRDefault="00B07327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Латинской Америке и Азии наблюдается значительный рост числа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риск-менеджеров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поскольку страхование становится инструментом ведения бизнеса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Латинской Америке и Азии у менеджеров по управлению рисками и страхованию появляется больше возможностей по привлечению клиентов, поскольку бизнес расширяется, выходя за пределы национальных границ. Эта экспансия открывает новые возможности, но в то же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ремя создает и новые угрозы, поскольку более разнообразный профиль рисков увеличивает объем работы. В Латинской Америке потребители страховых услуг, рассматривая страхование как инструмент ведения бизнеса, уделяют особое внимание соответствию мер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</w:t>
      </w:r>
      <w:r>
        <w:rPr>
          <w:rFonts w:ascii="Times New Roman" w:eastAsia="Times New Roman" w:hAnsi="Times New Roman" w:cs="Times New Roman"/>
          <w:sz w:val="24"/>
          <w:szCs w:val="24"/>
        </w:rPr>
        <w:t>джмента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корпоративной стратегии и концепции. В Азии потребители на рынке страхования все больше используют преимущества зарубежных программ. Оба региона сталкиваются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такими проблемами, как природные катастрофы, политическая нестабильность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-риски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что подчеркивает важность применения эффективных методов управления рисками и создания глобальных программ страхования для преодоления всех угроз.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Источник: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https://www.commercialriskonline.com/latin-america-and-asia-see-big-growth-in-true-risk-managers-as-insurance-becomes-business-enabler/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05.03.24</w:t>
      </w:r>
    </w:p>
    <w:p w:rsidR="002945F0" w:rsidRDefault="00B07327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 принимает меры для разрушения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бизнес-модели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принудит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ельного труда: Совет ЕС и парламент сосредоточились на создании закона о запрете использования принудительного труда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Евросоюз отказался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Директивы ЕС о должной осмотрительности в области корпоративной устойчивости (CSDDD)[1], но ввел новое постановление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 запрете продукции, произведенной с использованием принудительного труда, в результате роста обеспокоенности нарушениями прав человека. Это постановление направлено на искоренение рабства и принудительного труда путем предотвращения попадания на рынок ЕС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продукции, произведенной с использованием принудительного труда. Соглашение включает критерии оценки нарушений, рекомендации по соблюдению и процедуры расследований. Комиссия создаст базу данных о рисках, связанных с применением принудительного труда, и бу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дет проводить расследования за пределами Евросоюза, в то время как национальные регуляторы будут расследовать деятельность компаний на территориях своих стран. Власти смогут вводить меры по утилизацию продукции, изготовленной с использованием принудительно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го труда, причем особые правила коснуться деталей для оборудований.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Источник: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https://www.commercialriskonline.com/eu-acts-to-break-the-forced-labour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-business-model/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06.03.24</w:t>
      </w:r>
    </w:p>
    <w:p w:rsidR="002945F0" w:rsidRDefault="00B07327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добивается создания в Италии компаний-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а опыт Франции может помочь проложить путь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Европе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Итальянская ассоциация по управлению рисками,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выступает за введение в Италии нового режима, ориентированного на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[2], после успеха подобных предприятий во Франции. Президент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Карло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подчеркивает, что главное препятствие - политическое, поскольку необходимо изменить законодательство, чтобы итальянский регулятор мог специально регулировать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Недавние переговоры с регулирующим органом IVASS[3]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редомициляция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Италию вселяют надежду на прогресс.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 важность специального режима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решения сложных задач на страховом рынке. Он считает, что пример Франц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может вдохновить другие страны, а именно Италию, Германию и Испанию, на внедрение аналогичных программ и как следствие, законодательства. Необходимость 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подчеркивается текущими сложными условиями на страховом рынке.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11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https://www.commercialriskonline.com/anra-pushing-for-captive-regime-i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n-italy/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11.03.24</w:t>
      </w:r>
    </w:p>
    <w:p w:rsidR="002945F0" w:rsidRDefault="00B07327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Риск-менеджеры обязаны следить за соблюдением компаниями углеродной нейтральности, считает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Airmic</w:t>
      </w:r>
      <w:proofErr w:type="spellEnd"/>
      <w:proofErr w:type="gramEnd"/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Риск-менеджеры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сталкиваются со значительными трудностями при выявлении и решении проблемы выбросов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3[4]). Недавнее исследование, проведенное страховой компанией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показало, что 52 % организаций считают воплощение планов по переходу к зеленой экономике труднореализуемыми. Это связано со сложностями в сборе точных данных и обеспечении соблюд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требований со стороны поставщиков. Несмотря на признание бизнесом эффективности перехода к снижению углеродного следа, многим организациям не хватает ресурсов и данных для их действенной реализации, особенно для минимизации выбросов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</w:rPr>
        <w:t>зрабатывает руководство по планам по перестройке бизнес-процессов на зеленые рельсы, чтобы поддержать своих членов и специалистов по управлению рисками.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13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https://www.commercialriskonline.com/supply-chain-emissions-data-a-mammoth-task-for-risk-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managers-says-airmic/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07.03.24</w:t>
      </w:r>
    </w:p>
    <w:p w:rsidR="002945F0" w:rsidRDefault="002945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2945F0" w:rsidRDefault="00B07327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[1]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CSDDD </w:t>
      </w:r>
      <w:r>
        <w:rPr>
          <w:rFonts w:ascii="Times New Roman" w:eastAsia="Times New Roman" w:hAnsi="Times New Roman" w:cs="Times New Roman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</w:rPr>
        <w:t>Corporate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Sustainability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Diligence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Directive</w:t>
      </w:r>
      <w:proofErr w:type="spellEnd"/>
      <w:r>
        <w:rPr>
          <w:rFonts w:ascii="Times New Roman" w:eastAsia="Times New Roman" w:hAnsi="Times New Roman" w:cs="Times New Roman"/>
        </w:rPr>
        <w:t>) — директива о должной осмотрительности в области корпоративного устойчивого развития.</w:t>
      </w:r>
    </w:p>
    <w:p w:rsidR="002945F0" w:rsidRDefault="00B0732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[2] </w:t>
      </w: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Кэптив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Captive</w:t>
      </w:r>
      <w:proofErr w:type="spellEnd"/>
      <w:r>
        <w:rPr>
          <w:rFonts w:ascii="Times New Roman" w:eastAsia="Times New Roman" w:hAnsi="Times New Roman" w:cs="Times New Roman"/>
          <w:color w:val="222222"/>
        </w:rPr>
        <w:t>): Акционерная страховая компания, обслуживающая целиком или преимущественно корпоративные страховые интересы учредителей, а также самостоятельных хозяйствующих субъектов, входящих в структуру многопрофильных концернов или крупных финансово-промышленных гр</w:t>
      </w:r>
      <w:r>
        <w:rPr>
          <w:rFonts w:ascii="Times New Roman" w:eastAsia="Times New Roman" w:hAnsi="Times New Roman" w:cs="Times New Roman"/>
          <w:color w:val="222222"/>
        </w:rPr>
        <w:t>упп.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Кэптив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может являться дочерней страховой компанией. Преимущества организации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кэптива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заключаются в большой потенциальной емкости крупного сегмента страхового рынка, который обслуживается корпоративным страховщиком.</w:t>
      </w:r>
    </w:p>
    <w:p w:rsidR="002945F0" w:rsidRDefault="00B073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122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[3] </w:t>
      </w:r>
      <w:r>
        <w:rPr>
          <w:rFonts w:ascii="Times New Roman" w:eastAsia="Times New Roman" w:hAnsi="Times New Roman" w:cs="Times New Roman"/>
          <w:b/>
          <w:color w:val="202122"/>
          <w:highlight w:val="white"/>
        </w:rPr>
        <w:t>Институт страхового надзора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(ита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Istituto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per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vigilanza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sulle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assicurazioni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>, также известный как IVASS) — это независимый итальянский орган страхового контроля, отвечающий за надзор и регулирование всей страховой деятельности в Италии.</w:t>
      </w:r>
    </w:p>
    <w:p w:rsidR="002945F0" w:rsidRDefault="00B073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[4] </w:t>
      </w:r>
      <w:r>
        <w:rPr>
          <w:rFonts w:ascii="Times New Roman" w:eastAsia="Times New Roman" w:hAnsi="Times New Roman" w:cs="Times New Roman"/>
          <w:highlight w:val="white"/>
        </w:rPr>
        <w:t>Ученые разделяют выбросы компаний на три сф</w:t>
      </w:r>
      <w:r>
        <w:rPr>
          <w:rFonts w:ascii="Times New Roman" w:eastAsia="Times New Roman" w:hAnsi="Times New Roman" w:cs="Times New Roman"/>
          <w:highlight w:val="white"/>
        </w:rPr>
        <w:t>еры охвата. Первая сфера охвата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Scope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1) — это прямые выбросы предприятия при производстве. Ко второй сфере охвата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Scope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2) относится потребление энергии. Третья сфера охвата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Scope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3) включает всю цепочку жизненного цикла товара: закупка сырья, доставка</w:t>
      </w:r>
      <w:r>
        <w:rPr>
          <w:rFonts w:ascii="Times New Roman" w:eastAsia="Times New Roman" w:hAnsi="Times New Roman" w:cs="Times New Roman"/>
          <w:highlight w:val="white"/>
        </w:rPr>
        <w:t>, продажа, использование, утилизация и прочее, то есть напрямую не относящиеся к производителю выбросы.</w:t>
      </w:r>
    </w:p>
    <w:p w:rsidR="002945F0" w:rsidRDefault="00B07327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Комплексный глобальный ландшафт рисков знаменует конец «отдохновения от исторических потрясений»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 заверениям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Howden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бизнесу предстоит столкнуться с возросшей угрозой политических рисков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статье представлены к обозрению выводы, сделанные в отчете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геополитических рисках в 2024 году, в котором указывается, что «передышка от исторических поп</w:t>
      </w:r>
      <w:r>
        <w:rPr>
          <w:rFonts w:ascii="Times New Roman" w:eastAsia="Times New Roman" w:hAnsi="Times New Roman" w:cs="Times New Roman"/>
          <w:sz w:val="24"/>
          <w:szCs w:val="24"/>
        </w:rPr>
        <w:t>олзновений» в мире пришла к концу в свете масштабных войн, геополитической нестабильности и сокращения мировой торговли. Данные изменения привели к росту угроз безопасности, инфляции, ужесточению денежно-кредитной политики, нарушению цепочек поставок и зам</w:t>
      </w:r>
      <w:r>
        <w:rPr>
          <w:rFonts w:ascii="Times New Roman" w:eastAsia="Times New Roman" w:hAnsi="Times New Roman" w:cs="Times New Roman"/>
          <w:sz w:val="24"/>
          <w:szCs w:val="24"/>
        </w:rPr>
        <w:t>едлению экономического роста. В отчете подчеркивается сложность комплексность глобального ландшафта рисков, на который влияют макроэкономические факторы, геополитика и технологический прогресс.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год отмечен как год выборов: в около 60 странах пройдут избирательные процессы. Их население составляет 40 % от мирового, а размер экономик в совокупности - 40% мирового ВВП. Данный всплеск избирательной активности рассматривается как потенциальный то</w:t>
      </w:r>
      <w:r>
        <w:rPr>
          <w:rFonts w:ascii="Times New Roman" w:eastAsia="Times New Roman" w:hAnsi="Times New Roman" w:cs="Times New Roman"/>
          <w:sz w:val="24"/>
          <w:szCs w:val="24"/>
        </w:rPr>
        <w:t>лчок к политической нестабильности в связи с возникающими социально-экономическими факторами, такими как рост стоимости жизни, отсутствие продовольственной и энергетической безопасности, а также высокий уровень задолженности в экономиках стран. В статье та</w:t>
      </w:r>
      <w:r>
        <w:rPr>
          <w:rFonts w:ascii="Times New Roman" w:eastAsia="Times New Roman" w:hAnsi="Times New Roman" w:cs="Times New Roman"/>
          <w:sz w:val="24"/>
          <w:szCs w:val="24"/>
        </w:rPr>
        <w:t>кже отмечается, что гражданские беспорядки привели к страховым убыткам в размере 7 миллиардов долларов в период с 2020 по 2023 год, что отражает напряженную обстановку в мире.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Сэнди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аналитического отдела в сфере терроризма и политического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</w:t>
      </w:r>
      <w:r>
        <w:rPr>
          <w:rFonts w:ascii="Times New Roman" w:eastAsia="Times New Roman" w:hAnsi="Times New Roman" w:cs="Times New Roman"/>
          <w:sz w:val="24"/>
          <w:szCs w:val="24"/>
        </w:rPr>
        <w:t>ионизма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 необходимость подготовки предприятий к непредсказуемым политическим рискам, подчеркивая важность страхования политических рисков. Джулиан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Аловизи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представитель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отмечает, что нестабильная ситуация в мире треб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ует эффективного управления рисками и принятия адекватных страховых решений для поддержания экономической стабильности и роста. Ожидается, что в 2024 году «ожесточившийся» рынок страхования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станет более благоприятным для покупателей благодаря усилению конк</w:t>
      </w:r>
      <w:r>
        <w:rPr>
          <w:rFonts w:ascii="Times New Roman" w:eastAsia="Times New Roman" w:hAnsi="Times New Roman" w:cs="Times New Roman"/>
          <w:sz w:val="24"/>
          <w:szCs w:val="24"/>
        </w:rPr>
        <w:t>уренции и увеличению свей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емкости.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15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https://www.commercialriskonline.com/complex-global-risk-landscape-sees-end-of-holiday-from-history/?utm_source=feedotter&amp;utm_medium=email&amp;utm_campaign=FO-04-02-2024&amp;utm_conten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t=httpswwwcommercialriskonlinecomcomplexglobalrisklandscapeseesendofholidayfromhistory&amp;mkt_tok=NDMyLUZYRS01NDcAAAGSPhg3BRKRDR7XayTx825F0R9908vfU55nDNmPFIbBPDybA-ptv6OjwA1oVrYiJTWj_zj74VO1SA9nwdHVwxKpZUzz1Ccexya_MP3ZG4SmXQ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27.03.24</w:t>
      </w:r>
    </w:p>
    <w:p w:rsidR="002945F0" w:rsidRDefault="002945F0">
      <w:pPr>
        <w:spacing w:after="40"/>
        <w:rPr>
          <w:b/>
          <w:sz w:val="24"/>
          <w:szCs w:val="24"/>
        </w:rPr>
      </w:pPr>
    </w:p>
    <w:p w:rsidR="002945F0" w:rsidRDefault="00B07327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Европы ужесточает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уголовные санкции за экологические преступления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Европы принял новую директиву, направленную на усиление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экологического законодательства посредством применения уголовных санкций. Данная директива обновляет и расширяет законода</w:t>
      </w:r>
      <w:r>
        <w:rPr>
          <w:rFonts w:ascii="Times New Roman" w:eastAsia="Times New Roman" w:hAnsi="Times New Roman" w:cs="Times New Roman"/>
          <w:sz w:val="24"/>
          <w:szCs w:val="24"/>
        </w:rPr>
        <w:t>тельную базу, разработанную в 2008 г., устанавливая минимальные стандарты ЕС для определения уголовных преступлений и установления наказаний, связанных с экологическими преступлениями. Директива расширяет круг наказуемых деяний с девяти до двадцати, включа</w:t>
      </w:r>
      <w:r>
        <w:rPr>
          <w:rFonts w:ascii="Times New Roman" w:eastAsia="Times New Roman" w:hAnsi="Times New Roman" w:cs="Times New Roman"/>
          <w:sz w:val="24"/>
          <w:szCs w:val="24"/>
        </w:rPr>
        <w:t>я нововведённые правонарушения, такие как незаконный оборот древесины и незаконная переработка судовых отходов.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ключевых особенностей директивы - категория «квалифицированных преступлений», в которую входят умышленные деяния, наносящие значительный,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необратимый или длительный ущерб окружающей среде. Такие правонарушения, в случае, если они повлекли за собой смерть человека, могут быть предметом сурового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наказания - максимального по сроку тюремного заключение в 10 лет. За другие, менее серьезные право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нарушения, может быть назначено тюремное заключение сроком до 5 лет.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Компаниям, признанным виновными в крупных правонарушениях, грозят штрафы в размере не менее 5 % от их общего оборота или 40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евро, в то время как штрафы за другие правонарушения соста</w:t>
      </w:r>
      <w:r>
        <w:rPr>
          <w:rFonts w:ascii="Times New Roman" w:eastAsia="Times New Roman" w:hAnsi="Times New Roman" w:cs="Times New Roman"/>
          <w:sz w:val="24"/>
          <w:szCs w:val="24"/>
        </w:rPr>
        <w:t>вят не менее 3 % от оборота или 24 млн евро. Директива также предусматривает дополнительные санкции, такие как обязательство по восстановлению окружающей среды или выплате компенсации, лишение государственного финансирования или отзыв лицензии.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</w:rPr>
        <w:t>м-членам ЕС предоставлен срок в два года, чтобы включить новые правила в свои национальные законодательства.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17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https://www.commercialriskonline.com/ec-adopts-tougher-criminal-sanctions-for-environmental-crime/?utm_s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ource=feedotter&amp;utm_medium=email&amp;utm_campaign=FO-03-28-2024&amp;utm_content=httpswwwcommercialriskonlinecomecadoptstoughercriminalsanctionsforenvironmentalcrime&amp;mkt_tok=NDMyLUZYRS01NDcAAAGSJCwph5Q1Em1quNMl51mY1Q23r4XyjlDSuwKEq6L7o9UGf7lv_QXIV6bu4EVQnZHKTA4IWIl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mHLHdR-HcHAFIKa2GZ8stXyF6bVwWoXeWKA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26.03.24</w:t>
      </w:r>
    </w:p>
    <w:p w:rsidR="002945F0" w:rsidRDefault="00B07327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5F0" w:rsidRDefault="00B07327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Исследование, проведённое WTW, показало: профессиональные риски в сфере охраны труда и здоровья приобрели «непредвиденную» значимость для генеральных директоров и должностных лиц во всём мире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Всемирный опрос директоров и руководителей от 2024 года, проведенный компаниями WTW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Clyde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показал, что профессиональные риски в сфере охраны труда и здоровья стали приоритетными для 84 % директоров, руководителей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риск-менеджеров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впервые за три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превзойдя по значимости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киберриски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Данный сдвиг, который авторы исследования сочли неожиданным, знаменует собой значительные перемены в сравнении с результатами предыдущих опросов, по результатам которых доминировали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-риски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риски утечки данных.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Отчасти данное изменение может быть связано с повышением устойчивости бизнес-практик в сфере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киберрисками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ростом осведомленности о рисках ущерба здоровью и безопасности, включая вопросы ущерба психическому здоровью, стоящими особенно остро в </w:t>
      </w:r>
      <w:r>
        <w:rPr>
          <w:rFonts w:ascii="Times New Roman" w:eastAsia="Times New Roman" w:hAnsi="Times New Roman" w:cs="Times New Roman"/>
          <w:sz w:val="24"/>
          <w:szCs w:val="24"/>
        </w:rPr>
        <w:t>свете пандемии.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исследовании приняли участие 900 директоров из 52 стран, и оно выявило региональные различия: угрозы здоровью и безопасности являются главными рисками во всех регионах, кроме Великобритании, где они занимают второе место после рисков утеч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данных.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Киберриски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занимают второе по значимости место в мире, за ними следуют риски утечки данных, далее - коррупционные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-риски. Исследование также подчеркнуло необходимость повышения уровня осведомлённости директоров и должностных лиц о 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аховых практиках и альтернативных вариантах передачи рисков, отметив снижение ставок по страхованию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директоров и должностных лиц и внедрения практик по учреждению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поддержания программ по страхованию ответственности должностных </w:t>
      </w:r>
      <w:r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19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https://www.commercialriskonline.com/health-and-safety-surprise-top-risk-for-global-dos-finds-wtw-survey/?utm_source=feedotter&amp;utm_medium=email&amp;utm_campaign=FO-03-26-2024&amp;utm_content=httpswwwcommerc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ialriskonlinecomhealthandsafetysurprisetopriskforglobaldosfindswtwsurvey&amp;mkt_tok=NDMyLUZYRS01NDcAAAGSGkLYC8MCMddxOjr0xu6y51v3kXh3KLsCtWPV-IYMATZXXXgEA2RxhVi5d1zS1WDgwo717Th_XlsfAJPbAvdGBZSCrGBWXHekdNbZo1CTHA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20.03.24</w:t>
      </w:r>
    </w:p>
    <w:p w:rsidR="002945F0" w:rsidRDefault="002945F0">
      <w:pPr>
        <w:spacing w:after="40"/>
        <w:rPr>
          <w:b/>
          <w:sz w:val="24"/>
          <w:szCs w:val="24"/>
        </w:rPr>
      </w:pPr>
    </w:p>
    <w:p w:rsidR="002945F0" w:rsidRDefault="00B07327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заверениям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компании должны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скорить переход к системе стратегического управления рисками в условиях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поликризиса</w:t>
      </w:r>
      <w:proofErr w:type="spellEnd"/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статье освещается эволюционирующая роль управления рисками в процессе принятия стратегических решений, о которой поведала генеральный директор Европейской федерации ассо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циаций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Боперен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интервью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Госпожа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Боперен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подчеркивает, что, несмотря на достигнутый прогресс, управление рисками еще не полностью интегрировано в ядро стратегического управления организаций, особенно в конт</w:t>
      </w:r>
      <w:r>
        <w:rPr>
          <w:rFonts w:ascii="Times New Roman" w:eastAsia="Times New Roman" w:hAnsi="Times New Roman" w:cs="Times New Roman"/>
          <w:sz w:val="24"/>
          <w:szCs w:val="24"/>
        </w:rPr>
        <w:t>ексте текущего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поликризиса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- термина, обозначающего ряд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одновременн</w:t>
      </w:r>
      <w:proofErr w:type="spellEnd"/>
      <w:r w:rsidR="003410D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происходящих </w:t>
      </w:r>
      <w:r>
        <w:rPr>
          <w:rFonts w:ascii="Times New Roman" w:eastAsia="Times New Roman" w:hAnsi="Times New Roman" w:cs="Times New Roman"/>
          <w:sz w:val="24"/>
          <w:szCs w:val="24"/>
        </w:rPr>
        <w:t>глобальных кризисов</w:t>
      </w:r>
      <w:r>
        <w:rPr>
          <w:rFonts w:ascii="Times New Roman" w:eastAsia="Times New Roman" w:hAnsi="Times New Roman" w:cs="Times New Roman"/>
          <w:sz w:val="24"/>
          <w:szCs w:val="24"/>
        </w:rPr>
        <w:t>. Она подчерк</w:t>
      </w:r>
      <w:proofErr w:type="spellStart"/>
      <w:r w:rsidR="00E61607">
        <w:rPr>
          <w:rFonts w:ascii="Times New Roman" w:eastAsia="Times New Roman" w:hAnsi="Times New Roman" w:cs="Times New Roman"/>
          <w:sz w:val="24"/>
          <w:szCs w:val="24"/>
          <w:lang w:val="ru-RU"/>
        </w:rPr>
        <w:t>нула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риск-менеджеры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получают все большее признание в корпоративной иерархии и привлекаются к участию во всё более значим</w:t>
      </w:r>
      <w:r>
        <w:rPr>
          <w:rFonts w:ascii="Times New Roman" w:eastAsia="Times New Roman" w:hAnsi="Times New Roman" w:cs="Times New Roman"/>
          <w:sz w:val="24"/>
          <w:szCs w:val="24"/>
        </w:rPr>
        <w:t>ых аспектах деятельности организаций, от управления в сфере соблюдения нормативных требований до стратегического планирования.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интервью было выявлено: несмотря на то,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риск-менеджеры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достаточной мере осведомлены в области внутренней отчетности </w:t>
      </w:r>
      <w:r>
        <w:rPr>
          <w:rFonts w:ascii="Times New Roman" w:eastAsia="Times New Roman" w:hAnsi="Times New Roman" w:cs="Times New Roman"/>
          <w:sz w:val="24"/>
          <w:szCs w:val="24"/>
        </w:rPr>
        <w:t>и управления операционными рисками, необходимо приложить больше усилий для количественной оценки и приор</w:t>
      </w:r>
      <w:r w:rsidR="00E6160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рисков, чтобы оказывать </w:t>
      </w:r>
      <w:proofErr w:type="spellStart"/>
      <w:r w:rsidR="00E61607">
        <w:rPr>
          <w:rFonts w:ascii="Times New Roman" w:eastAsia="Times New Roman" w:hAnsi="Times New Roman" w:cs="Times New Roman"/>
          <w:sz w:val="24"/>
          <w:szCs w:val="24"/>
          <w:lang w:val="ru-RU"/>
        </w:rPr>
        <w:t>реа</w:t>
      </w:r>
      <w:r>
        <w:rPr>
          <w:rFonts w:ascii="Times New Roman" w:eastAsia="Times New Roman" w:hAnsi="Times New Roman" w:cs="Times New Roman"/>
          <w:sz w:val="24"/>
          <w:szCs w:val="24"/>
        </w:rPr>
        <w:t>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влияние на принятие ключевых бизнес-решений.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Боперен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отмечает прогресс в таких областях управления страт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егическими рисками, как менеджмент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ESG рисков, где управление рисками приобретает все большую значимость, которая достигается, в частности, путём сотрудничества с ИТ-отделами и отделами устойчивого развития.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Боперен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отмечает растущее у</w:t>
      </w:r>
      <w:r>
        <w:rPr>
          <w:rFonts w:ascii="Times New Roman" w:eastAsia="Times New Roman" w:hAnsi="Times New Roman" w:cs="Times New Roman"/>
          <w:sz w:val="24"/>
          <w:szCs w:val="24"/>
        </w:rPr>
        <w:t>частие риск-менеджеров в определении корпоративных стратегий, и данная тенденция, согласно прогнозам, сохранится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607"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утверждает, что стратегическое управление рисками необходимо для адаптации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бизнес-моделей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проведения эффективного корпоративно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управления в условиях динамичной, многофакторной глобальной рыночной конъюнктуры. В заключение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>подчеркивает</w:t>
      </w:r>
      <w:r w:rsidR="00E61607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значимость комплексного планирования и сотрудничества в управлении рисками для повышения устойчивости организаций на фоне растущих и взаимосв</w:t>
      </w:r>
      <w:r>
        <w:rPr>
          <w:rFonts w:ascii="Times New Roman" w:eastAsia="Times New Roman" w:hAnsi="Times New Roman" w:cs="Times New Roman"/>
          <w:sz w:val="24"/>
          <w:szCs w:val="24"/>
        </w:rPr>
        <w:t>язанных глобальных рисков.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21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2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https://www.commercialriskonline.com/strategic-risk-management-remains-a-work-in-progress-says-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lastRenderedPageBreak/>
          <w:t>ferma/?utm_source=feedotter&amp;utm_medium=email&amp;utm_campaign=FO-03-26-2024&amp;utm_content=htt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pswwwcommercialriskonlinecomstrategicriskmanagementremainsaworkinprogresssaysferma&amp;mkt_tok=NDMyLUZYRS01NDcAAAGSGd9ZIKLRmEaXurY6exZqPK-oE-5va_pI2eNE5eOto_YOpAClBAI59E92pGPfa_67utXTxnWWsER7AE3ly31YbLyDX8bEyfXoaM_pJQ6JLQ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26.03.24</w:t>
      </w:r>
    </w:p>
    <w:p w:rsidR="002945F0" w:rsidRDefault="002945F0">
      <w:p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5F0" w:rsidRDefault="00B07327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Французская аэрокосмическая группа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Safran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инициирует план по репатриации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люксембургского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кэптива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Источники сообщают: по меньшей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мере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еще одна компания рассматривает возможность принятия аналогичного решения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рассматривается решение французской аэрокосмической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переводу своей перестраховочной компании из Люксембурга обратно во Францию. Данный переход - часть более обширного плана французских компаний по репатриации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свете изме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нения правил налогового учета во Франции. Данные правила, введенные в прошлом году, были призваны сделать Францию более привлекательной страной для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страховых компаний, позволяя более гибко формировать резервы возможных убытков, тем 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перенимая люксембургские принципы в сфере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отношении своей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примечателен тем, что она может быть одной из первых французских компаний, предпринявших данный шаг после изменения прави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налогового учёта. В настоящее время базирующаяся в Люксембурге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компания, в рамках своей системы менеджмента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операционныых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рисков, управляет рисками, связанными с гражданской авиационной ответственностью, ущербом имуществу и перерывами в произво</w:t>
      </w:r>
      <w:r>
        <w:rPr>
          <w:rFonts w:ascii="Times New Roman" w:eastAsia="Times New Roman" w:hAnsi="Times New Roman" w:cs="Times New Roman"/>
          <w:sz w:val="24"/>
          <w:szCs w:val="24"/>
        </w:rPr>
        <w:t>дстве.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обновленные правила вызвали значительный интерес 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французском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бизнес-сообществе: по прогнозам французской ассоциации управления рисками и страхования AMRAE, к концу года число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 Франции может достичь 30. Страховой надзор Фран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ции, ACPR, уже одобрил учреждение ряда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принадлежащий почтовой компании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изменение рассматривается как мера экономии и повышения эффективности для компаний, рассматривающих возможность репатриации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отражает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обширную тенденцию роста популярности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страховых решений во Франции, особенно среди компаний меньшего размера, чем традиционные владельцы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статье отмечается, что до изменения норм налогового учёта большинство французских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лагались в Люксембурге и Ирландии, что подчеркивает потенциальный сдвиг в ландшафте размещения французскими компаниями принадлежащих 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5F0" w:rsidRDefault="00B0732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23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https://www.commercialriskonline.com/french-group-t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riggers-plan-to-repatriate-luxembourg-captive-back-home/?utm_source=feedotter&amp;utm_medium=email&amp;utm_campaign=FO-03-22-2024&amp;utm_content=httpswwwcommercialriskonlinecomfrenchgrouptriggersplantorepa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lastRenderedPageBreak/>
          <w:t>triateluxembourgcaptivebackhome&amp;mkt_tok=NDMyLUZYRS01NDcAAAGSBQ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8D8IXSYjC5z19rj5E2N1B_2cPoOEcwG3KDS-63c36i99ZmTsMALkh2ASQ7pVM8hgwYVxYbzIiJU9gMf1BCOCPuCPgS87cXKBNBWkVSzg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22.03.24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numPr>
          <w:ilvl w:val="0"/>
          <w:numId w:val="2"/>
        </w:num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сохраняет «бдительность», поскольку CSDDD проходит очередной этап проверки </w:t>
      </w:r>
    </w:p>
    <w:p w:rsidR="002945F0" w:rsidRDefault="002945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Европейская федерация ассоциаций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выразила удовлетворение тем, что риск-ориентированный подход к обеспечению должной устойчивости развития сохраняется в пересмотренной Директиве о комплексной проверке в области устойчивого развития (CSDDD), которая недавно прошла через Комитет Европейского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парламента по правовым вопросам. Однако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сохраняет бдительность по мере прохождения директивы через законодательный процесс, подчеркивая необходимость того, чтобы окончательный текст был практичным и удовлетворял интересы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риск-менеджеров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Директива,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направленная на обеспечение соблюдения принципов устойчивого развития в компаниях, претерпела значительные изменения в ходе переговорного процесса по её рассмотрению. Количество компаний, на которые распространяются положения директивы, было сокращено за с</w:t>
      </w:r>
      <w:r>
        <w:rPr>
          <w:rFonts w:ascii="Times New Roman" w:eastAsia="Times New Roman" w:hAnsi="Times New Roman" w:cs="Times New Roman"/>
          <w:sz w:val="24"/>
          <w:szCs w:val="24"/>
        </w:rPr>
        <w:t>чет изменения пороговых значений количества сотрудников и выручки. Данные изменения значительно сократят число компаний, на которые распространяется действие директивы.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аспекты CSDDD включают требования к компаниям по смягчению негативного воздейс</w:t>
      </w:r>
      <w:r>
        <w:rPr>
          <w:rFonts w:ascii="Times New Roman" w:eastAsia="Times New Roman" w:hAnsi="Times New Roman" w:cs="Times New Roman"/>
          <w:sz w:val="24"/>
          <w:szCs w:val="24"/>
        </w:rPr>
        <w:t>твия, связанного с нарушением прав человека и реализацией экологических рисков в рамках деятельности компаний и функционирования их цепочек поставок. Компаниям будет необходимо интегрировать принципы устойчивого развития в свою политику и разработать страт</w:t>
      </w:r>
      <w:r>
        <w:rPr>
          <w:rFonts w:ascii="Times New Roman" w:eastAsia="Times New Roman" w:hAnsi="Times New Roman" w:cs="Times New Roman"/>
          <w:sz w:val="24"/>
          <w:szCs w:val="24"/>
        </w:rPr>
        <w:t>егии ESG-трансформации, удовлетворяющие ограничению глобального потепления до 1,5°C. Данные принципы включают имплементацию конкретных климатических стратегий и привлечение достаточного инвестирования для их реализации.</w:t>
      </w:r>
    </w:p>
    <w:p w:rsidR="002945F0" w:rsidRDefault="00B073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Директиве еще предстоит пройти полно</w:t>
      </w:r>
      <w:r>
        <w:rPr>
          <w:rFonts w:ascii="Times New Roman" w:eastAsia="Times New Roman" w:hAnsi="Times New Roman" w:cs="Times New Roman"/>
          <w:sz w:val="24"/>
          <w:szCs w:val="24"/>
        </w:rPr>
        <w:t>е пленарное голосование в Европейском парламенте, и по состоянию на данный момент ее принятие не гарантировано. Если директива будет одобрена, компании будут нести юридическую ответственность за ее несоблюдение, включая обязательство по выплате компенсаций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различного характера и возможные штрафы в размере до 5% от чистого внешнеторгового оборота компаний. Государства-члены ЕС назначат ответственные органы, которые будут следить за соблюдением правил директивы.</w:t>
      </w:r>
    </w:p>
    <w:p w:rsidR="002945F0" w:rsidRDefault="00B07327">
      <w:pPr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Источник:</w:t>
      </w:r>
      <w:hyperlink r:id="rId25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https://www.commercialri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skonline.com/ferma-remains-vigilant-as-csddd-passes-next-hurdle/?utm_source=feedotter&amp;utm_medium=email&amp;utm_campaign=FO-03-20-2024&amp;utm_content=httpswwwcommercialriskonlinecomfermaremainsvigilantascsdddpassesnexthurdle&amp;mkt_tok=NDMyLUZYRS01NDcAAAGR-vlZ-gSSaKC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w5frP3cJY-v0w19-S5hS7hDpf0oS71hHTHb-s4BqijgSWg_wgrly7TzU2GaSFqCODj9Xd5XxVufIG6nV_SoomA4m9lMe6JQ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20.03.24</w:t>
      </w:r>
    </w:p>
    <w:sectPr w:rsidR="002945F0">
      <w:footerReference w:type="default" r:id="rId27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27" w:rsidRDefault="00B07327">
      <w:pPr>
        <w:spacing w:line="240" w:lineRule="auto"/>
      </w:pPr>
      <w:r>
        <w:separator/>
      </w:r>
    </w:p>
  </w:endnote>
  <w:endnote w:type="continuationSeparator" w:id="0">
    <w:p w:rsidR="00B07327" w:rsidRDefault="00B07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F0" w:rsidRDefault="00B07327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 w:rsidR="003410DE"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E61607">
      <w:rPr>
        <w:rFonts w:ascii="Times New Roman" w:eastAsia="Times New Roman" w:hAnsi="Times New Roman" w:cs="Times New Roman"/>
        <w:b/>
        <w:noProof/>
        <w:sz w:val="24"/>
        <w:szCs w:val="24"/>
      </w:rPr>
      <w:t>9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27" w:rsidRDefault="00B07327">
      <w:pPr>
        <w:spacing w:line="240" w:lineRule="auto"/>
      </w:pPr>
      <w:r>
        <w:separator/>
      </w:r>
    </w:p>
  </w:footnote>
  <w:footnote w:type="continuationSeparator" w:id="0">
    <w:p w:rsidR="00B07327" w:rsidRDefault="00B073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089"/>
    <w:multiLevelType w:val="multilevel"/>
    <w:tmpl w:val="D3088F18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7F7336"/>
    <w:multiLevelType w:val="multilevel"/>
    <w:tmpl w:val="4C38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5F0"/>
    <w:rsid w:val="002945F0"/>
    <w:rsid w:val="003410DE"/>
    <w:rsid w:val="00B07327"/>
    <w:rsid w:val="00E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riskonline.com/european-market-to-stabilise-further-with-rate-decreases-on-the-cards-in-h2/" TargetMode="External"/><Relationship Id="rId13" Type="http://schemas.openxmlformats.org/officeDocument/2006/relationships/hyperlink" Target="https://www.commercialriskonline.com/supply-chain-emissions-data-a-mammoth-task-for-risk-managers-says-airmic/" TargetMode="External"/><Relationship Id="rId18" Type="http://schemas.openxmlformats.org/officeDocument/2006/relationships/hyperlink" Target="https://www.commercialriskonline.com/ec-adopts-tougher-criminal-sanctions-for-environmental-crime/?utm_source=feedotter&amp;utm_medium=email&amp;utm_campaign=FO-03-28-2024&amp;utm_content=httpswwwcommercialriskonlinecomecadoptstoughercriminalsanctionsforenvironmentalcrime&amp;mkt_tok=NDMyLUZYRS01NDcAAAGSJCwph5Q1Em1quNMl51mY1Q23r4XyjlDSuwKEq6L7o9UGf7lv_QXIV6bu4EVQnZHKTA4IWIlmHLHdR-HcHAFIKa2GZ8stXyF6bVwWoXeWKA" TargetMode="External"/><Relationship Id="rId26" Type="http://schemas.openxmlformats.org/officeDocument/2006/relationships/hyperlink" Target="https://www.commercialriskonline.com/ferma-remains-vigilant-as-csddd-passes-next-hurdle/?utm_source=feedotter&amp;utm_medium=email&amp;utm_campaign=FO-03-20-2024&amp;utm_content=httpswwwcommercialriskonlinecomfermaremainsvigilantascsdddpassesnexthurdle&amp;mkt_tok=NDMyLUZYRS01NDcAAAGR-vlZ-gSSaKCw5frP3cJY-v0w19-S5hS7hDpf0oS71hHTHb-s4BqijgSWg_wgrly7TzU2GaSFqCODj9Xd5XxVufIG6nV_SoomA4m9lMe6J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mmercialriskonline.com/supply-chain-emissions-data-a-mammoth-task-for-risk-managers-says-airm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mmercialriskonline.com/anra-pushing-for-captive-regime-in-italy/" TargetMode="External"/><Relationship Id="rId17" Type="http://schemas.openxmlformats.org/officeDocument/2006/relationships/hyperlink" Target="https://www.commercialriskonline.com/supply-chain-emissions-data-a-mammoth-task-for-risk-managers-says-airmic/" TargetMode="External"/><Relationship Id="rId25" Type="http://schemas.openxmlformats.org/officeDocument/2006/relationships/hyperlink" Target="https://www.commercialriskonline.com/supply-chain-emissions-data-a-mammoth-task-for-risk-managers-says-airm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ercialriskonline.com/complex-global-risk-landscape-sees-end-of-holiday-from-history/?utm_source=feedotter&amp;utm_medium=email&amp;utm_campaign=FO-04-02-2024&amp;utm_content=httpswwwcommercialriskonlinecomcomplexglobalrisklandscapeseesendofholidayfromhistory&amp;mkt_tok=NDMyLUZYRS01NDcAAAGSPhg3BRKRDR7XayTx825F0R9908vfU55nDNmPFIbBPDybA-ptv6OjwA1oVrYiJTWj_zj74VO1SA9nwdHVwxKpZUzz1Ccexya_MP3ZG4SmXQ" TargetMode="External"/><Relationship Id="rId20" Type="http://schemas.openxmlformats.org/officeDocument/2006/relationships/hyperlink" Target="https://www.commercialriskonline.com/health-and-safety-surprise-top-risk-for-global-dos-finds-wtw-survey/?utm_source=feedotter&amp;utm_medium=email&amp;utm_campaign=FO-03-26-2024&amp;utm_content=httpswwwcommercialriskonlinecomhealthandsafetysurprisetopriskforglobaldosfindswtwsurvey&amp;mkt_tok=NDMyLUZYRS01NDcAAAGSGkLYC8MCMddxOjr0xu6y51v3kXh3KLsCtWPV-IYMATZXXXgEA2RxhVi5d1zS1WDgwo717Th_XlsfAJPbAvdGBZSCrGBWXHekdNbZo1CTH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mmercialriskonline.com/anra-pushing-for-captive-regime-in-italy/" TargetMode="External"/><Relationship Id="rId24" Type="http://schemas.openxmlformats.org/officeDocument/2006/relationships/hyperlink" Target="https://www.commercialriskonline.com/french-group-triggers-plan-to-repatriate-luxembourg-captive-back-home/?utm_source=feedotter&amp;utm_medium=email&amp;utm_campaign=FO-03-22-2024&amp;utm_content=httpswwwcommercialriskonlinecomfrenchgrouptriggersplantorepatriateluxembourgcaptivebackhome&amp;mkt_tok=NDMyLUZYRS01NDcAAAGSBQ8D8IXSYjC5z19rj5E2N1B_2cPoOEcwG3KDS-63c36i99ZmTsMALkh2ASQ7pVM8hgwYVxYbzIiJU9gMf1BCOCPuCPgS87cXKBNBWkVSz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mercialriskonline.com/supply-chain-emissions-data-a-mammoth-task-for-risk-managers-says-airmic/" TargetMode="External"/><Relationship Id="rId23" Type="http://schemas.openxmlformats.org/officeDocument/2006/relationships/hyperlink" Target="https://www.commercialriskonline.com/supply-chain-emissions-data-a-mammoth-task-for-risk-managers-says-airmi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mercialriskonline.com/eu-acts-to-break-the-forced-labour-business-model/" TargetMode="External"/><Relationship Id="rId19" Type="http://schemas.openxmlformats.org/officeDocument/2006/relationships/hyperlink" Target="https://www.commercialriskonline.com/supply-chain-emissions-data-a-mammoth-task-for-risk-managers-says-airm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mercialriskonline.com/latin-america-and-asia-see-big-growth-in-true-risk-managers-as-insurance-becomes-business-enabler/" TargetMode="External"/><Relationship Id="rId14" Type="http://schemas.openxmlformats.org/officeDocument/2006/relationships/hyperlink" Target="https://www.commercialriskonline.com/supply-chain-emissions-data-a-mammoth-task-for-risk-managers-says-airmic/" TargetMode="External"/><Relationship Id="rId22" Type="http://schemas.openxmlformats.org/officeDocument/2006/relationships/hyperlink" Target="https://www.commercialriskonline.com/strategic-risk-management-remains-a-work-in-progress-says-ferma/?utm_source=feedotter&amp;utm_medium=email&amp;utm_campaign=FO-03-26-2024&amp;utm_content=httpswwwcommercialriskonlinecomstrategicriskmanagementremainsaworkinprogresssaysferma&amp;mkt_tok=NDMyLUZYRS01NDcAAAGSGd9ZIKLRmEaXurY6exZqPK-oE-5va_pI2eNE5eOto_YOpAClBAI59E92pGPfa_67utXTxnWWsER7AE3ly31YbLyDX8bEyfXoaM_pJQ6JLQ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2024-05-03T16:12:00Z</dcterms:created>
  <dcterms:modified xsi:type="dcterms:W3CDTF">2024-05-03T16:12:00Z</dcterms:modified>
</cp:coreProperties>
</file>